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CHNS ONH与碳硫元素分析送样单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□颗粒   □薄膜剪碎   □液体（需确认）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□CHNS   □氧氮氢ONH   □碳硫CS   □单元素   □多元素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预计含量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C：____% H：____% N：____% S：____% O：____% 其他：____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样品均匀性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□均匀   □多相/复合   □易吸湿   □易氧化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预处理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□无需   □干燥   □研磨   □去除溶剂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燃烧/熔融分析为破坏性测试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样品应均匀、干燥并研磨细化；多相样品需充分混匀，结果代表取样部分。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请提供预计元素含量和可能存在的卤素、金属、硅、磷等干扰成分，以选择燃烧条件和校准范围。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易吸湿、易氧化和挥发性样品需密封保存并注明干燥条件；未知爆炸性或强氧化性样品不接收。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