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HPLC与LC-MS液相分析送样单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□水样/溶液   □提取液   □反应液   □固体待提取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□HPLC-UV/FLD   □LC-MS   □LC-MS/MS   □定性   □定量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目标物/标准品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目标物：________________   标准品：□提供 □需采购/配制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溶剂/浓度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溶剂：________   浓度范围：________   pH：________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前处理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□已过滤   □已提取   □需SPE/净化   □需稀释   □需方法开发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空白/质控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□溶剂空白   □基质空白   □加标   □平行样   □内标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过滤、提取和进样会消耗样品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进样液应澄清、无颗粒，通常需0.22或0.45 μm过滤；滤膜材质必须与溶剂和目标物兼容。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请提供目标物、预计浓度、溶剂、pH、标准品和可能干扰物；未知样品需先进行方法评估。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LC-MS应尽量避免高浓度非挥发盐、表面活性剂和强缓冲盐，以减少离子抑制和污染离子源。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4. 定量分析建议提供基质空白、标准品、内标和加标回收方案。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