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有机污染物前处理与定量分析送样单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□水样   □土壤/沉积物   □生物样   □产品/材料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目标物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□PAHs   □PCBs/PBDEs   □农药   □抗生素   □PFAS   □激素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□邻苯/塑化剂   □其他：________________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分析平台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□LC-MS/MS   □GC-MS/MS   □HPLC   □GC   □不确定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前处理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□SPE   □液液萃取   □超声/涡旋   □净化   □氮吹浓缩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质控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□空白   □平行   □加标回收   □替代物/内标   □基质加标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萃取、净化和浓缩过程为有损处理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应提前明确目标物清单、预计浓度、样品基体和检测限要求，以选择前处理与仪器方法。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痕量有机物分析需使用洁净、低背景容器，并避免塑料、橡胶或清洗剂带入目标物。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PFAS、邻苯、PAHs等项目对容器和耗材有特殊要求，必须设置全过程空白和加标回收。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