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AI-2  |  候选分子与材料智能筛选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AI-2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候选分子与材料智能筛选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HQTD-YYYYMMDD-AI-2-序号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材料筛选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融合文献、实验、数据库与计算结果，构建描述符、预测模型和多目标排序流程，输出优先验证候选清单。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适用于药物分子、催化剂、膜材料、吸附剂、MOF/COF、电池材料和功能组分筛选。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候选分子与材料智能筛选专属需求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候选对象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分子  □ 药物/配体  □ 催化剂  □ 膜材料  □ 吸附剂  □ MOF/COF  □ 电池材料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筛选目标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目标性质/性能：____________________________________________________________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候选规模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当前候选数量：________________；预计扩展规模：________________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结构来源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自建库  □ 公共数据库  □ 文献提取  □ 计算生成  □ 商业库  □ 待构建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回归预测  □ 分类筛选  □ 排序  □ 相似性检索  □ 多目标优化  □ 异常剔除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约束条件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性能  □ 稳定性  □ 成本  □ 毒性  □ 可合成性  □ 组成限制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验证路径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实验验证  □ DFT/MD 等高精度计算  □ 文献核验  □ 暂不验证  □ 待设计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优先级规则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候选排序权重、硬约束或必须排除条件：________________________________________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结构格式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SMILES  □ SDF/MOL  □ CIF  □ POSCAR  □ XYZ  □ 分子图  □ 自定义表格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标签数据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已有实验/计算标签数量：________________；目标字段：________________________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数据来源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实验  □ 文献  □ 公共数据库  □ 计算模拟  □ 企业内部  □ 多来源混合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描述符情况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已有描述符  □ 需构建分子/材料描述符  □ 需图神经网络表示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数据质量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缺失值、单位、重复、负样本、测量条件差异：__________________________________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补充资料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合成路线  □ 工艺条件  □ 表征结果  □ 计算文件  □ 参考论文  □ 其他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筛选指标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MAE/RMSE  □ R²  □ AUC/F1  □ 排序准确率  □ Top-k 命中率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多目标策略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加权评分  □ Pareto 排序  □ 分层筛选  □ 约束优化  □ 待技术评估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解释性要求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SHAP/特征贡献  □ 结构片段贡献  □ 相似样本  □ 设计规则  □ 不需要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不确定性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置信区间  □ 适用域  □ 高风险候选标记  □ 不需要  □ 待评估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交付形式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候选清单  □ 数据集/特征库  □ 模型  □ 批量预测脚本  □ 可视化报告  □ 工具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AI-2-候选分子与材料智能筛选项目需求表</dc:title>
  <dc:subject>AI项目需求收集与前期评估</dc:subject>
  <dc:creator>HQTD Scientific</dc:creator>
  <cp:keywords>AI-2, 候选分子与材料智能筛选,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