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压汞与毛细管流动孔径CFP送样单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□粉末压片   □膜   □块体   □纤维/无纺布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□压汞MIP   □CFP干湿法   □泡点   □平均流量孔径   □孔径分布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面积/直径：________   厚度：________   质量：________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润湿液/接触角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润湿液：________   接触角：________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结构稳定性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□耐压   □可能压缩/破坏   □遇液体变化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压汞为破坏性且受汞污染；CFP润湿后样品状态可能改变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压汞测试会施加高压并使样品接触汞，样品通常不能回收或继续用于其他测试。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软质、多孔聚合物和可压缩材料可能发生结构压缩，所得孔径需结合材料力学性质解释。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CFP适用于贯通孔测试，需提供膜面积、厚度、润湿液相容性和是否允许裁剪。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