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光学显微与激光共聚焦送样单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□块体   □薄膜   □粉末固定样   □纤维   □生物样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测试方式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□体视显微   □明场   □暗场   □偏光   □激光共聚焦   □超景深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观察需求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□表面缺陷   □颗粒/纤维尺寸   □三维形貌   □轮廓/粗糙度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倍率/视场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倍率：________   视场数量：________   □由实验室选择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荧光/颜色信息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激发/发射：________________   □无荧光要求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通常可回收；染色、固定或切片后的部分可能无法恢复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样品表面应洁净并保持平整；透明、反光、深色或高粗糙样品需提前说明，以选择合适照明模式。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共聚焦三维形貌测试需保证表面高度差位于仪器量程内，并避免松散粉末污染物镜。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偏光观察需注明样品方向；荧光观察需提供激发/发射波段和是否易光漂白。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