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MALDI-TOF与通用质谱送样单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□纯化小分子   □聚合物   □蛋白/多肽   □寡核苷酸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□MALDI-TOF   □高分辨MS   □分子量确认   □同位素分布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样品信息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分子式/结构：________________   预计分子量：________________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溶剂/浓度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溶剂：________   浓度：________   盐/缓冲体系：________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离子模式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□正离子   □负离子   □不确定   可能加合物：________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基质混合和进样会消耗样品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样品应尽量纯化并减少盐、缓冲剂、表面活性剂和不挥发杂质；这些成分会抑制离子化。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需提供预计分子量、结构或分子式、溶剂、浓度和可能的加合离子。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MALDI样品通常需与基质混合，聚合物和生物大分子应选择合适基质及校准标准。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