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FTIR傅里叶红外光谱送样单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   □液体   □膏体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□ATR   □KBr压片   □液体池   □显微红外   □透射/反射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波数范围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□常规范围   □指定：________～________ cm⁻¹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背景/空白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□空气背景   □基底背景   □溶剂空白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关注官能团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关注峰位/官能团：________________________________________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ATR通常微损；压片、液体池或前处理样品可能无法完整回收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ATR可用于多数固体、粉末、膏体和液体，但样品需与晶体充分接触且不得划伤或腐蚀ATR晶体。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KBr压片样品应干燥、细磨并与干燥KBr充分混匀；含水会造成强吸收并影响压片质量。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液体样品需注明溶剂、挥发性、腐蚀性和是否含水，以选择兼容的窗片和液体池。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请提供基底或溶剂空白；薄膜很薄或浓度很低时可能需要透射、显微或多次扫描。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