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ICP-AAS重金属检测送样单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项目编号：FX-65    类别：成分、色谱与质谱分析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目标组分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元素/离子/化合物：________________________________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定量要求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□定性  □半定量  □外标定量  □内标定量  □检出限要求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前处理情况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□已完成  □需消解  □需萃取  □需过滤/浓缩  □请评估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ICP-MS/AFS/AAS，多元素浓度表；按多元素重金属检测80元/元素参考。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请注明目标物、预期浓度范围、基体组成及是否需要定量。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危险、挥发、腐蚀性或生物样品必须提供安全信息。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