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t>分析测试送样与技术需求表</w:t>
      </w:r>
    </w:p>
    <w:tbl>
      <w:tr>
        <w:tc>
          <w:tcPr>
            <w:tcW w:type="dxa" w:w="2348"/>
          </w:tcPr>
          <w:p>
            <w:r>
              <w:t>项目编号</w:t>
            </w:r>
          </w:p>
        </w:tc>
        <w:tc>
          <w:tcPr>
            <w:tcW w:type="dxa" w:w="6626"/>
          </w:tcPr>
          <w:p>
            <w:r>
              <w:t>FX-1（请填写与项目页面一致的编号）</w:t>
            </w:r>
          </w:p>
        </w:tc>
      </w:tr>
      <w:tr>
        <w:tc>
          <w:tcPr>
            <w:tcW w:type="dxa" w:w="2348"/>
          </w:tcPr>
          <w:p>
            <w:r>
              <w:t>输出编号</w:t>
            </w:r>
          </w:p>
        </w:tc>
        <w:tc>
          <w:tcPr>
            <w:tcW w:type="dxa" w:w="6626"/>
          </w:tcPr>
          <w:p>
            <w:r>
              <w:t>HQTD-YYYYMMDD-FX-1-序号（提交后系统自动生成）</w:t>
            </w:r>
          </w:p>
        </w:tc>
      </w:tr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□薄膜/涂层   □纤维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观察部位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□表面   □截面   □断面   □颗粒   □指定区域：________________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□SEM形貌   □EDS点扫   □EDS线扫  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倍率/尺度需求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最低倍率：________   最高倍率：________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导电处理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□可喷金/铂   □可喷碳   □不可喷镀   □低真空模式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样品磁性/易变质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□无磁   □有磁/不确定   □易变质（条件）：________________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已测试、前处理或消耗部分通常无法完整回收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样品应干燥、洁净、能耐受真空；含挥发性溶剂、油脂或水分的样品需提前说明。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绝缘样品通常需要喷金、喷铂或喷碳；如需保留原始表面或进行EDS轻元素分析，请提前确认镀层方案。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粉末必须固定牢靠，避免松散颗粒进入真空腔；块体和薄膜应标注观察面与方向。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磁性、易充电、易束流损伤或生物样品需提前说明，测试参数可能需要调整。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