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36"/>
        </w:rPr>
        <w:t xml:space="preserve">THỎA THUẬN HỢP TÁC </w:t>
      </w:r>
    </w:p>
    <w:p>
      <w:pPr>
        <w:pStyle w:val="Normal"/>
        <w:tabs>
          <w:tab w:val="clear" w:pos="720"/>
          <w:tab w:val="left" w:pos="3261" w:leader="none"/>
        </w:tabs>
        <w:spacing w:before="0" w:after="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Số MOMO </w:t>
      </w:r>
      <w:bookmarkStart w:id="0" w:name="__DdeLink__293_1077235887"/>
      <w:r>
        <w:rPr>
          <w:rFonts w:eastAsia="Times New Roman" w:cs="Times New Roman" w:ascii="Times New Roman" w:hAnsi="Times New Roman"/>
          <w:b/>
          <w:color w:val="000000"/>
          <w:sz w:val="24"/>
        </w:rPr>
        <w:t>${soMomo}</w:t>
      </w:r>
      <w:bookmarkEnd w:id="0"/>
      <w:r>
        <w:rPr>
          <w:rFonts w:eastAsia="Times New Roman" w:cs="Times New Roman" w:ascii="Times New Roman" w:hAnsi="Times New Roman"/>
          <w:b/>
          <w:color w:val="000000"/>
          <w:sz w:val="24"/>
        </w:rPr>
        <w:tab/>
      </w:r>
      <w:r>
        <w:rPr>
          <w:rFonts w:eastAsia="Times New Roman" w:cs="Times New Roman" w:ascii="Times New Roman" w:hAnsi="Times New Roman"/>
          <w:color w:val="000000"/>
          <w:sz w:val="24"/>
        </w:rPr>
        <w:tab/>
        <w:t xml:space="preserve"> </w:t>
      </w:r>
    </w:p>
    <w:p>
      <w:pPr>
        <w:pStyle w:val="Normal"/>
        <w:spacing w:before="0" w:after="31"/>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 </w:t>
      </w:r>
    </w:p>
    <w:p>
      <w:pPr>
        <w:pStyle w:val="Normal"/>
        <w:tabs>
          <w:tab w:val="clear" w:pos="720"/>
          <w:tab w:val="left" w:pos="1843" w:leader="none"/>
          <w:tab w:val="left" w:pos="2835" w:leader="none"/>
          <w:tab w:val="left" w:pos="3686" w:leader="none"/>
        </w:tabs>
        <w:spacing w:lineRule="auto" w:line="276" w:before="0" w:after="5"/>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Hôm nay, ngày </w:t>
      </w:r>
      <w:r>
        <w:rPr>
          <w:rFonts w:eastAsia="Times New Roman" w:cs="Times New Roman" w:ascii="Times New Roman" w:hAnsi="Times New Roman"/>
          <w:color w:val="000000"/>
          <w:sz w:val="24"/>
        </w:rPr>
        <w:t xml:space="preserve">${ngay} </w:t>
      </w:r>
      <w:r>
        <w:rPr>
          <w:rFonts w:eastAsia="Times New Roman" w:cs="Times New Roman" w:ascii="Times New Roman" w:hAnsi="Times New Roman"/>
          <w:color w:val="000000"/>
          <w:sz w:val="24"/>
        </w:rPr>
        <w:t xml:space="preserve">tháng </w:t>
      </w:r>
      <w:r>
        <w:rPr>
          <w:rFonts w:eastAsia="Times New Roman" w:cs="Times New Roman" w:ascii="Times New Roman" w:hAnsi="Times New Roman"/>
          <w:color w:val="000000"/>
          <w:sz w:val="24"/>
        </w:rPr>
        <w:t xml:space="preserve">${thang} </w:t>
      </w:r>
      <w:r>
        <w:rPr>
          <w:rFonts w:eastAsia="Times New Roman" w:cs="Times New Roman" w:ascii="Times New Roman" w:hAnsi="Times New Roman"/>
          <w:color w:val="000000"/>
          <w:sz w:val="24"/>
        </w:rPr>
        <w:t xml:space="preserve">năm </w:t>
      </w:r>
      <w:r>
        <w:rPr>
          <w:rFonts w:eastAsia="Times New Roman" w:cs="Times New Roman" w:ascii="Times New Roman" w:hAnsi="Times New Roman"/>
          <w:color w:val="000000"/>
          <w:sz w:val="24"/>
        </w:rPr>
        <w:t xml:space="preserve">${nam} </w:t>
      </w:r>
      <w:r>
        <w:rPr>
          <w:rFonts w:eastAsia="Times New Roman" w:cs="Times New Roman" w:ascii="Times New Roman" w:hAnsi="Times New Roman"/>
          <w:color w:val="000000"/>
          <w:sz w:val="24"/>
        </w:rPr>
        <w:t xml:space="preserve">,chúng tôi gồm có:  </w:t>
      </w:r>
    </w:p>
    <w:p>
      <w:pPr>
        <w:pStyle w:val="Normal"/>
        <w:keepNext w:val="true"/>
        <w:keepLines/>
        <w:numPr>
          <w:ilvl w:val="0"/>
          <w:numId w:val="0"/>
        </w:numPr>
        <w:spacing w:before="0" w:after="136"/>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Bên A        : CÔNG TY CỔ PHẦN DỊCH VỤ DI ĐỘNG TRỰC TUYẾN </w:t>
      </w:r>
    </w:p>
    <w:p>
      <w:pPr>
        <w:pStyle w:val="Normal"/>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Đại diện     : Ông </w:t>
      </w:r>
      <w:r>
        <w:rPr>
          <w:rFonts w:eastAsia="Times New Roman" w:cs="Times New Roman" w:ascii="Times New Roman" w:hAnsi="Times New Roman"/>
          <w:b/>
          <w:color w:val="000000"/>
          <w:sz w:val="24"/>
        </w:rPr>
        <w:t xml:space="preserve">Đỗ Khắc Cường </w:t>
      </w:r>
    </w:p>
    <w:p>
      <w:pPr>
        <w:pStyle w:val="Normal"/>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Chức danh : Phó Tổng Giám Đốc </w:t>
      </w:r>
    </w:p>
    <w:p>
      <w:pPr>
        <w:pStyle w:val="Normal"/>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Theo Giấy Ủy quyền số (nếu có): 07/2021/UQ/QTNS, ký ngày 01 tháng 01 năm 2021 </w:t>
      </w:r>
    </w:p>
    <w:p>
      <w:pPr>
        <w:pStyle w:val="Normal"/>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Địa chỉ       : Lầu M, Tòa nhà Petroland, số 12 Tân Trào, Phường Tân Phú, Quận 7, Hồ Chí Minh </w:t>
      </w:r>
    </w:p>
    <w:p>
      <w:pPr>
        <w:pStyle w:val="Normal"/>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Điện thoại  : 028 710 22 222 Fax: 028 5414 7557  </w:t>
      </w:r>
    </w:p>
    <w:p>
      <w:pPr>
        <w:pStyle w:val="Normal"/>
        <w:spacing w:lineRule="auto" w:line="379" w:before="0" w:after="0"/>
        <w:ind w:left="-5" w:right="6947" w:hanging="1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Mã số thuế : 0305289153 </w:t>
      </w:r>
      <w:r>
        <w:rPr>
          <w:rFonts w:eastAsia="Times New Roman" w:cs="Times New Roman" w:ascii="Times New Roman" w:hAnsi="Times New Roman"/>
          <w:i/>
          <w:color w:val="000000"/>
          <w:sz w:val="24"/>
        </w:rPr>
        <w:t>(Sau đây gọi tắt là “</w:t>
      </w:r>
      <w:r>
        <w:rPr>
          <w:rFonts w:eastAsia="Times New Roman" w:cs="Times New Roman" w:ascii="Times New Roman" w:hAnsi="Times New Roman"/>
          <w:b/>
          <w:i/>
          <w:color w:val="000000"/>
          <w:sz w:val="24"/>
        </w:rPr>
        <w:t>Bên A</w:t>
      </w:r>
      <w:r>
        <w:rPr>
          <w:rFonts w:eastAsia="Times New Roman" w:cs="Times New Roman" w:ascii="Times New Roman" w:hAnsi="Times New Roman"/>
          <w:i/>
          <w:color w:val="000000"/>
          <w:sz w:val="24"/>
        </w:rPr>
        <w:t xml:space="preserve">”) </w:t>
      </w:r>
    </w:p>
    <w:p>
      <w:pPr>
        <w:pStyle w:val="Normal"/>
        <w:spacing w:lineRule="auto" w:line="379" w:before="0" w:after="0"/>
        <w:ind w:left="-5" w:right="6947" w:hanging="1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Bên B        : ${benB}</w:t>
      </w:r>
    </w:p>
    <w:p>
      <w:pPr>
        <w:pStyle w:val="Normal"/>
        <w:tabs>
          <w:tab w:val="clear" w:pos="720"/>
          <w:tab w:val="left" w:pos="9900" w:leader="none"/>
        </w:tabs>
        <w:spacing w:lineRule="auto" w:line="276" w:before="0" w:after="116"/>
        <w:ind w:hanging="11"/>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Đại diện     : ${daiDien}</w:t>
        <w:tab/>
        <w:t xml:space="preserve"> </w:t>
      </w:r>
    </w:p>
    <w:p>
      <w:pPr>
        <w:pStyle w:val="Normal"/>
        <w:tabs>
          <w:tab w:val="clear" w:pos="720"/>
          <w:tab w:val="left" w:pos="9900" w:leader="none"/>
        </w:tabs>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Chức danh : ${chucDanh}</w:t>
        <w:tab/>
        <w:t xml:space="preserve"> Theo Giấy Ủy quyền số (nếu có):</w:t>
        <w:tab/>
      </w:r>
    </w:p>
    <w:p>
      <w:pPr>
        <w:pStyle w:val="Normal"/>
        <w:tabs>
          <w:tab w:val="clear" w:pos="720"/>
          <w:tab w:val="left" w:pos="9900" w:leader="none"/>
        </w:tabs>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Địa chỉ       :</w:t>
      </w:r>
      <w:bookmarkStart w:id="1" w:name="_GoBack"/>
      <w:bookmarkEnd w:id="1"/>
      <w:r>
        <w:rPr>
          <w:rFonts w:eastAsia="Times New Roman" w:cs="Times New Roman" w:ascii="Times New Roman" w:hAnsi="Times New Roman"/>
          <w:color w:val="000000"/>
          <w:sz w:val="24"/>
        </w:rPr>
        <w:t xml:space="preserve"> ${diaChi}</w:t>
        <w:tab/>
        <w:t xml:space="preserve"> </w:t>
      </w:r>
    </w:p>
    <w:p>
      <w:pPr>
        <w:pStyle w:val="Normal"/>
        <w:tabs>
          <w:tab w:val="clear" w:pos="720"/>
          <w:tab w:val="left" w:pos="5812" w:leader="none"/>
          <w:tab w:val="left" w:pos="9900" w:leader="none"/>
        </w:tabs>
        <w:spacing w:lineRule="auto" w:line="276" w:before="0" w:after="116"/>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Điện thoại  : ${dienThoai}</w:t>
        <w:tab/>
        <w:t>Fax:</w:t>
        <w:tab/>
        <w:t xml:space="preserve">  </w:t>
      </w:r>
    </w:p>
    <w:p>
      <w:pPr>
        <w:pStyle w:val="Normal"/>
        <w:tabs>
          <w:tab w:val="clear" w:pos="720"/>
          <w:tab w:val="left" w:pos="9900" w:leader="none"/>
        </w:tabs>
        <w:spacing w:lineRule="auto" w:line="379" w:before="0" w:after="5"/>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Mã số thuế : ${mst}</w:t>
        <w:tab/>
        <w:t xml:space="preserve"> Email         : ${email}</w:t>
        <w:tab/>
      </w:r>
    </w:p>
    <w:p>
      <w:pPr>
        <w:pStyle w:val="Normal"/>
        <w:spacing w:before="0" w:after="0"/>
        <w:ind w:left="-5" w:right="6947" w:hanging="10"/>
        <w:rPr>
          <w:rFonts w:ascii="Times New Roman" w:hAnsi="Times New Roman" w:eastAsia="Times New Roman" w:cs="Times New Roman"/>
          <w:color w:val="000000"/>
          <w:sz w:val="24"/>
        </w:rPr>
      </w:pPr>
      <w:r>
        <w:rPr>
          <w:rFonts w:eastAsia="Times New Roman" w:cs="Times New Roman" w:ascii="Times New Roman" w:hAnsi="Times New Roman"/>
          <w:i/>
          <w:color w:val="000000"/>
          <w:sz w:val="24"/>
        </w:rPr>
        <w:t>(Sau đây gọi tắt là “</w:t>
      </w:r>
      <w:r>
        <w:rPr>
          <w:rFonts w:eastAsia="Times New Roman" w:cs="Times New Roman" w:ascii="Times New Roman" w:hAnsi="Times New Roman"/>
          <w:b/>
          <w:i/>
          <w:color w:val="000000"/>
          <w:sz w:val="24"/>
        </w:rPr>
        <w:t>Bên B</w:t>
      </w:r>
      <w:r>
        <w:rPr>
          <w:rFonts w:eastAsia="Times New Roman" w:cs="Times New Roman" w:ascii="Times New Roman" w:hAnsi="Times New Roman"/>
          <w:i/>
          <w:color w:val="000000"/>
          <w:sz w:val="24"/>
        </w:rPr>
        <w:t xml:space="preserve">”) </w:t>
      </w:r>
    </w:p>
    <w:p>
      <w:pPr>
        <w:pStyle w:val="Normal"/>
        <w:spacing w:before="0" w:after="31"/>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p>
      <w:pPr>
        <w:pStyle w:val="Normal"/>
        <w:spacing w:lineRule="auto" w:line="276" w:before="0" w:after="130"/>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Sau khi bàn bạc, hai Bên đã cùng nhau nhất trí ký kết Thỏa thuận hợp tác với các điều kiện và điều khoản dưới đây: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1.</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THUẬT NGỮ VÀ ĐỊNH NGHĨA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Dịch vụ Ví điện tử MoMo: </w:t>
      </w:r>
      <w:r>
        <w:rPr>
          <w:rFonts w:eastAsia="Times New Roman" w:cs="Times New Roman" w:ascii="Times New Roman" w:hAnsi="Times New Roman"/>
          <w:color w:val="000000"/>
          <w:sz w:val="24"/>
        </w:rPr>
        <w:t xml:space="preserve">là các dịch vụ do Bên A cung cấp, cho phép Khách hàng sử dụng Kênh thanh toán MoMo để thanh toán giá trị của các loại dịch vụ/sản phẩm của Bên B, thông qua hình thức thanh toán dùng tiền mặt hoặc không dùng tiền mặt.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Ứng dụng MoMo (Ví MoMo): </w:t>
      </w:r>
      <w:r>
        <w:rPr>
          <w:rFonts w:eastAsia="Times New Roman" w:cs="Times New Roman" w:ascii="Times New Roman" w:hAnsi="Times New Roman"/>
          <w:color w:val="000000"/>
          <w:sz w:val="24"/>
        </w:rPr>
        <w:t xml:space="preserve">là ứng dụng ví điện tử do Bên A cung cấp, quản lý và được Ngân hàng Nhà nước Việt Nam cấp phép triển khai dưới thương hiệu MoMo. Đây là tài khoản điện tử trên hệ thống Bên A mà chủ tài khoản có thể sử dụng và quản lý thông qua nhiều hình thức khác nhau, bao gồm nhưng không giới hạn bởi ứng dụng trên điện thoại di động, website, SIMCARD...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Khách hàng: </w:t>
      </w:r>
      <w:r>
        <w:rPr>
          <w:rFonts w:eastAsia="Times New Roman" w:cs="Times New Roman" w:ascii="Times New Roman" w:hAnsi="Times New Roman"/>
          <w:color w:val="000000"/>
          <w:sz w:val="24"/>
        </w:rPr>
        <w:t>là các cá nhân, tổ chức sử dụng sản phẩm/dịch vụ của Bên B.</w:t>
      </w:r>
      <w:r>
        <w:rPr>
          <w:rFonts w:eastAsia="Times New Roman" w:cs="Times New Roman" w:ascii="Times New Roman" w:hAnsi="Times New Roman"/>
          <w:b/>
          <w:color w:val="000000"/>
          <w:sz w:val="24"/>
        </w:rPr>
        <w:t xml:space="preserve">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Đơn vị chấp nhận thanh toán</w:t>
      </w:r>
      <w:r>
        <w:rPr>
          <w:rFonts w:eastAsia="Times New Roman" w:cs="Times New Roman" w:ascii="Times New Roman" w:hAnsi="Times New Roman"/>
          <w:color w:val="000000"/>
          <w:sz w:val="24"/>
        </w:rPr>
        <w:t xml:space="preserve">: là tổ chức, cá nhân cung cấp hàng hóa, dịch vụ và chấp nhận thanh toán thông qua Dịch vụ Ví điện tử MoMo. Đơn vị chấp nhận thanh toán theo Thỏa Thuận này là Bên B.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Điểm chấp nhận thanh toán MoMo: </w:t>
      </w:r>
      <w:r>
        <w:rPr>
          <w:rFonts w:eastAsia="Times New Roman" w:cs="Times New Roman" w:ascii="Times New Roman" w:hAnsi="Times New Roman"/>
          <w:color w:val="000000"/>
          <w:sz w:val="24"/>
        </w:rPr>
        <w:t xml:space="preserve">là địa điểm kinh doanh (nếu có), cửa hàng của Bên B chấp nhận thanh toán các loại dịch vụ/sản phẩm của Bên B bằng Ví MoMo. </w:t>
      </w:r>
    </w:p>
    <w:p>
      <w:pPr>
        <w:pStyle w:val="Normal"/>
        <w:numPr>
          <w:ilvl w:val="0"/>
          <w:numId w:val="1"/>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Sự kiện bất khả kháng:</w:t>
      </w:r>
      <w:r>
        <w:rPr>
          <w:rFonts w:eastAsia="Times New Roman" w:cs="Times New Roman" w:ascii="Times New Roman" w:hAnsi="Times New Roman"/>
          <w:color w:val="000000"/>
          <w:sz w:val="24"/>
        </w:rPr>
        <w:t xml:space="preserve"> Sự kiện bất khả kháng là sự kiện vượt ra ngoài khả năng kiểm soát của một Bên. Các Sự kiện bất khả kháng bao gồm nhưng không giới hạn các sự kiện như thiên tai, biểu tình, bạo động, bạo loạn và chiến tranh, …và các sự kiện bất khả kháng khác theo quy định của pháp luật Việt Nam. Khi xảy ra sự kiện bất khả kháng, Bên bị ảnh hưởng có nghĩa vụ thông báo kịp thời cho Bên còn lại. Không bên nào được xem là có lỗi khi bị ảnh hưởng bởi sự kiện bất khả kháng và đã thực hiện nghĩa vụ thông báo cho Bên còn lại. </w:t>
      </w:r>
    </w:p>
    <w:p>
      <w:pPr>
        <w:pStyle w:val="Normal"/>
        <w:numPr>
          <w:ilvl w:val="0"/>
          <w:numId w:val="1"/>
        </w:numPr>
        <w:spacing w:lineRule="auto" w:line="276" w:before="0" w:after="76"/>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Thỏa thuận: </w:t>
      </w:r>
      <w:r>
        <w:rPr>
          <w:rFonts w:eastAsia="Times New Roman" w:cs="Times New Roman" w:ascii="Times New Roman" w:hAnsi="Times New Roman"/>
          <w:color w:val="000000"/>
          <w:sz w:val="24"/>
        </w:rPr>
        <w:t xml:space="preserve">là Thỏa thuận hợp tác này.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2.</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 NỘI DUNG HỢP TÁC </w:t>
      </w:r>
    </w:p>
    <w:p>
      <w:pPr>
        <w:pStyle w:val="Normal"/>
        <w:numPr>
          <w:ilvl w:val="0"/>
          <w:numId w:val="2"/>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Bên B đồng ý chấp nhận sử dụng Dịch vụ Ví điện tử MoMo làm kênh thanh toán cho Khách hàng của Bên B dưới các hình thức nhận tiền bằng số tài khoản Ví MoMo hoặc nhận tiền bằng mã QR code tĩnh mà Bên B được cung cấp trong Ứng dụng MoMo. </w:t>
      </w:r>
    </w:p>
    <w:p>
      <w:pPr>
        <w:pStyle w:val="Normal"/>
        <w:numPr>
          <w:ilvl w:val="0"/>
          <w:numId w:val="2"/>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Các điều khoản về Phân loại dịch vụ, Phí dịch vụ &amp; hình thức thanh toán, Thông tin cửa hàng, Thông tin đầu mối liên hệ được quy định tại Phụ lục Phí dịch vụ &amp; Hình thức thanh toán. </w:t>
      </w:r>
    </w:p>
    <w:p>
      <w:pPr>
        <w:pStyle w:val="Normal"/>
        <w:numPr>
          <w:ilvl w:val="0"/>
          <w:numId w:val="2"/>
        </w:numPr>
        <w:spacing w:lineRule="auto" w:line="276" w:before="0" w:after="72"/>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Các Phụ lục đính kèm Thỏa thuận này là một phần không thể tách rời của Thỏa thuận và có hiệu lực theo thời hạn hiệu lực của Thỏa thuận.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3.</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CAM KẾT CHUNG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Các Bên cam kết tuân thủ các điều khoản của Thỏa thuận này cũng như các sửa đổi, bổ sung (nếu có) theo từng thời điểm.</w:t>
      </w:r>
      <w:r>
        <w:rPr>
          <w:rFonts w:eastAsia="Times New Roman" w:cs="Times New Roman" w:ascii="Times New Roman" w:hAnsi="Times New Roman"/>
          <w:b/>
          <w:color w:val="000000"/>
          <w:sz w:val="24"/>
        </w:rPr>
        <w:t xml:space="preserve">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Mỗi Bên tự chịu các chi phí phát sinh cần thiết phục vụ cho việc thực hiện nội dung hợp tác giữa hai Bên theo Thỏa thuận này. Mỗi Bên có nghĩa vụ sử dụng đúng mục đích, bảo quản, giữ gìn, sửa chữa, bồi thường hư hỏng thiết bị, tài sản được Bên còn lại cung cấp, bàn giao (nếu có) trong quá trình triển khai dịch vụ.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Cung cấp, cập nhật đầu mối liên hệ cho Bên còn lại để liên hệ thực hiện kết nối, triển khai dịch vụ. </w:t>
      </w:r>
    </w:p>
    <w:p>
      <w:pPr>
        <w:pStyle w:val="Normal"/>
        <w:spacing w:lineRule="auto" w:line="276" w:before="0" w:after="5"/>
        <w:ind w:left="345"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Các Bên đồng ý tiếp nhận giải quyết khiếu nại đối với các giao dịch Khách hàng phát sinh tối đa trong vòng 24 giờ.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Mỗi Bên cam kết không được làm ảnh hưởng đến thương hiệu, uy tín và chất lượng dịch vụ của Bên còn lại.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Thông báo kịp thời cho nhau về những thay đổi liên quan đến dịch vụ hợp tác trước 30 (ba mươi) ngày và các thay đổi phải được hai Bên đồng ý bằng văn bản trước khi có hiệu lực áp dụng. </w:t>
      </w:r>
    </w:p>
    <w:p>
      <w:pPr>
        <w:pStyle w:val="Normal"/>
        <w:numPr>
          <w:ilvl w:val="0"/>
          <w:numId w:val="3"/>
        </w:numPr>
        <w:spacing w:lineRule="auto" w:line="271" w:before="0" w:after="6"/>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Hai Bên có nghĩa vụ bảo mật đối với các thông tin mà hai Bên tiết lộ cho nhau trong suốt thời gian hiệu lực của Thỏa thuận này và nghĩa vụ bảo mật vẫn tiếp tục sau khi Thỏa thuận này hết hiệu lực, trừ trường hợp thông tin được tiết lộ theo quy định pháp luật hoặc có sự đồng ý bằng văn bản của cả hai Bên. </w:t>
      </w:r>
    </w:p>
    <w:p>
      <w:pPr>
        <w:pStyle w:val="Normal"/>
        <w:numPr>
          <w:ilvl w:val="0"/>
          <w:numId w:val="3"/>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Không một Bên nào được phép chuyển nhượng một phần hay toàn bộ các quyền, nghĩa vụ hay bất kỳ lợi ích nào khác có được theo Thỏa thuận này mà không có sự chấp thuận trước bằng văn bản của Bên còn lại. </w:t>
      </w:r>
    </w:p>
    <w:p>
      <w:pPr>
        <w:pStyle w:val="Normal"/>
        <w:numPr>
          <w:ilvl w:val="0"/>
          <w:numId w:val="3"/>
        </w:numPr>
        <w:spacing w:lineRule="auto" w:line="276" w:before="0" w:after="60"/>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Mỗi Bên cam kết bồi thường cho Bên kia và giải trừ cho Bên kia đối với bất kỳ chi phí, tổn thất, nợ, trách nhiệm, nghĩa vụ và khiếu kiện từ bất kỳ tổ chức/cá nhân nào mà Bên kia phải chịu theo phát sinh thực tế và theo quy định của pháp luật, phát sinh bởi sai lầm hoặc thiếu cẩn trọng về phía mình hoặc bất kỳ vi phạm nào đối với Thỏa thuận.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4.</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QUYỀN VÀ NGHĨA VỤ CỦA MỖI BÊN </w:t>
      </w:r>
    </w:p>
    <w:p>
      <w:pPr>
        <w:pStyle w:val="Normal"/>
        <w:numPr>
          <w:ilvl w:val="0"/>
          <w:numId w:val="4"/>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Quyền và nghĩa vụ của Bên A: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trang bị đầy đủ hình ảnh nhận diện Bên A, công cụ chấp nhận thanh toán bằng Ví MoMo cho Bên B.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đào tạo, hướng dẫn cách thức chấp nhận thanh toán bằng Ví MoMo cho Bên B.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quảng cáo hình ảnh cửa hàng của Bên B đến với Khách hàng đang sử dụng Ví MoMo. </w:t>
      </w:r>
    </w:p>
    <w:p>
      <w:pPr>
        <w:pStyle w:val="Normal"/>
        <w:numPr>
          <w:ilvl w:val="0"/>
          <w:numId w:val="4"/>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Quyền và nghĩa vụ của Bên B: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Được Bên A quảng bá hình ảnh cửa hàng của Bên B đến Khách hàng đang sử dụng Ví MoMo.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chấp nhận thanh toán sản phẩm/dịch vụ của Bên B bằng Ví MoMo. Không phân biệt đối xử với các kênh thanh toán khác bằng cách không chấp nhận thanh toán MoMo hoặc áp dụng các chính sách riêng biệt thấp hơn đối với Kênh thanh toán MoMo.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cho Bên A trang bị hình ảnh nhận diện MoMo tại cửa hàng của Bên B.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Không yêu cầu Khách hàng thanh toán thêm bất cứ khoản phụ phí nào cho việc sử dụng Ví MoMo làm hình thức thanh toán, không phân biệt đối xử dưới bất kỳ hình thức nào đối với Khách hàng sử dụng Ví MoMo.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Không thực hiện hoặc hỗ trợ hay tạo điều kiện cho bất kỳ tổ chức, cá nhân nào thực hiện hành vi gian lận, lạm dụng các chương trình khuyến mại của Bên A. Đặc biệt, tuyệt đối không thanh toán khống các giao dịch qua Ví MoMo (không cung cấp hàng hóa/dịch vụ mà ứng tiền mặt cho Khách hàng để hưởng hoa hồng).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Không thu thập, lưu trữ hoặc chuyển giao cho bất kỳ bên thứ ba nào thông tin Khách hàng và giao dịch của Khách hàng qua Ví MoMo trái quy định của pháp luật.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Không sử dụng QR Code tĩnh do Bên A cung cấp để thanh toán cho các giao dịch ảo, theo đó, Bên B không được sử dụng Ví MoMo để thanh toán cho các giao dịch mua hàng hóa/dịch vụ nhưng thực tế không phát sinh việc thực hiện dịch vụ, không xuất hàng hóa ra khỏi kho và không có các chứng từ kèm theo để chứng minh cho việc thực hiện dịch vụ hoặc mua hàng hóa đó.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Giải trình và cung cấp cho Bên A các bằng chứng chứng minh giao dịch đã thực hiện với Khách hàng, bao gồm, tuỳ từng trường hợp và theo yêu cầu cụ thể của Bên A, hoá đơn thanh toán, chứng từ giao dịch, bản kê khai thuế hoặc các tài liệu khác, trong thời hạn 03 (ba) ngày làm việc kể từ ngày nhận được yêu cầu của Bên A.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Phối hợp với Bên A xử lý các vụ việc gian lận và khắc phục những vấn đề phát sinh, bao gồm nhưng không giới hạn, các sự cố, lỗ hổng hệ thống, lỗ hổng bảo mật,… trong quá trình khai thác dịch vụ Ví MoMo để đảm bảo chất lượng dịch vụ cung cấp cho Khách hàng.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Thông báo cho Bên A ngay khi phát hiện hoặc có nghi vấn các hành vi vi phạm liên quan đến nội dung hợp tác giữa hai Bên và phối hợp xử lý, chịu trách nhiệm (nếu có).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hàng hóa do bên B cung cấp phù hợp với các quy định của pháp luật. Cam kết không thực hiện hoạt động nhận chuyển tiền và chi trả tiền mặt thông qua dịch vụ ví điện tử và các giao dịch bị cấm khác theo quy định của pháp luật như cờ bạc, rửa tiền, tài trợ khủng bố, ....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Có trách nhiệm thực hiện kê khai và hoàn thành các nghĩa vụ thuế theo các quy định của pháp luật.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Cam kết cung cấp đầy đủ, chính xác, trung thực các thông tin được ghi nhận tại Thỏa Thuận này cũng như các thông tin theo yêu cầu của Bên A. </w:t>
      </w:r>
    </w:p>
    <w:p>
      <w:pPr>
        <w:pStyle w:val="Normal"/>
        <w:numPr>
          <w:ilvl w:val="1"/>
          <w:numId w:val="4"/>
        </w:numPr>
        <w:spacing w:lineRule="auto" w:line="276" w:before="0" w:after="5"/>
        <w:ind w:left="900" w:hanging="5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Trong trường hợp phát hiện Bên B có một hoặc một số hành vi vi phạm Thỏa thuận, Bên A có quyền: (i) tạm ngừng cung cấp dịch vụ thanh toán qua Ví MoMo cho đến khi Bên B khắc phục hoàn toàn và được Bên A chấp nhận; (ii) phạt vi phạm bằng 8% giá trị phần nghĩa vụ Thỏa thuận bị vi phạm và/hoặc yêu cầu bồi thường thiệt hại theo quy định tại Thỏa thuận này và theo quy định pháp luật; (iii) chấm dứt Thỏa thuận; và (iv) thực hiện các biện pháp khác theo quy định của pháp luật để xử lý hành vi vi phạm.</w:t>
      </w:r>
      <w:r>
        <w:rPr>
          <w:rFonts w:eastAsia="Times New Roman" w:cs="Times New Roman" w:ascii="Times New Roman" w:hAnsi="Times New Roman"/>
          <w:b/>
          <w:color w:val="000000"/>
          <w:sz w:val="24"/>
        </w:rPr>
        <w:t xml:space="preserve"> </w:t>
      </w:r>
      <w:r>
        <w:rPr>
          <w:rFonts w:eastAsia="Times New Roman" w:cs="Times New Roman" w:ascii="Times New Roman" w:hAnsi="Times New Roman"/>
          <w:color w:val="000000"/>
          <w:sz w:val="24"/>
        </w:rPr>
        <w:t xml:space="preserve">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5.</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SỬA ĐỔI, CHẤM DỨT THỎA THUẬN </w:t>
      </w:r>
    </w:p>
    <w:p>
      <w:pPr>
        <w:pStyle w:val="Normal"/>
        <w:numPr>
          <w:ilvl w:val="0"/>
          <w:numId w:val="5"/>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Mọi sửa đổi, bổ sung liên quan đến các điều khoản của Thỏa thuận này phải được các Bên thỏa thuận và lập thành văn bản đính kèm Thỏa thuận này. </w:t>
      </w:r>
    </w:p>
    <w:p>
      <w:pPr>
        <w:pStyle w:val="Normal"/>
        <w:numPr>
          <w:ilvl w:val="0"/>
          <w:numId w:val="5"/>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Chấm dứt Thỏa thuận: </w:t>
      </w:r>
    </w:p>
    <w:p>
      <w:pPr>
        <w:pStyle w:val="Normal"/>
        <w:numPr>
          <w:ilvl w:val="1"/>
          <w:numId w:val="5"/>
        </w:numPr>
        <w:spacing w:lineRule="auto" w:line="276" w:before="0" w:after="5"/>
        <w:ind w:left="81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Theo thỏa thuận bằng văn bản giữa các Bên. </w:t>
      </w:r>
    </w:p>
    <w:p>
      <w:pPr>
        <w:pStyle w:val="Normal"/>
        <w:numPr>
          <w:ilvl w:val="1"/>
          <w:numId w:val="5"/>
        </w:numPr>
        <w:spacing w:lineRule="auto" w:line="276" w:before="0" w:after="5"/>
        <w:ind w:left="81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Mỗi Bên có quyền đơn phương chấm dứt Thỏa thuận khi: </w:t>
      </w:r>
    </w:p>
    <w:p>
      <w:pPr>
        <w:pStyle w:val="Normal"/>
        <w:numPr>
          <w:ilvl w:val="2"/>
          <w:numId w:val="5"/>
        </w:numPr>
        <w:spacing w:lineRule="auto" w:line="276" w:before="0" w:after="5"/>
        <w:ind w:left="126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Có văn bản thông báo chấm dứt gửi trước 07 (bảy) ngày cho Bên còn lại do Sự kiện bất khả kháng kéo dài gây ảnh hưởng cho một Bên. </w:t>
      </w:r>
    </w:p>
    <w:p>
      <w:pPr>
        <w:pStyle w:val="Normal"/>
        <w:numPr>
          <w:ilvl w:val="2"/>
          <w:numId w:val="5"/>
        </w:numPr>
        <w:spacing w:lineRule="auto" w:line="271" w:before="0" w:after="6"/>
        <w:ind w:left="126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Có văn bản thông báo chấm dứt trước 01 (một) ngày làm việc khi một Bên vi phạm Thỏa thuận nhưng không khắc phục hoặc thất bại trong việc khắc phục những vi phạm đó trong vòng 15 (mười lăm) ngày kể từ ngày nhận thông báo yêu cầu khắc phục vi phạm của Bên bị vi phạm. </w:t>
      </w:r>
    </w:p>
    <w:p>
      <w:pPr>
        <w:pStyle w:val="Normal"/>
        <w:numPr>
          <w:ilvl w:val="2"/>
          <w:numId w:val="5"/>
        </w:numPr>
        <w:spacing w:lineRule="auto" w:line="276" w:before="0" w:after="5"/>
        <w:ind w:left="126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Một Bên có văn bản thông báo đơn phương chấm dứt gửi trước 30 (ba mươi) ngày cho Bên còn lại.  </w:t>
      </w:r>
    </w:p>
    <w:p>
      <w:pPr>
        <w:pStyle w:val="Normal"/>
        <w:numPr>
          <w:ilvl w:val="1"/>
          <w:numId w:val="5"/>
        </w:numPr>
        <w:spacing w:lineRule="auto" w:line="276" w:before="0" w:after="5"/>
        <w:ind w:left="81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Trong mọi trường hợp chấm dứt Thỏa thuận, các Bên phải hoàn thành mọi nghĩa vụ còn tồn đọng, hoàn trả, bồi hoàn (nếu có) cho nhau các công cụ, tài liệu, thông tin,…thuộc sở hữu của mỗi Bên.  </w:t>
      </w:r>
    </w:p>
    <w:p>
      <w:pPr>
        <w:pStyle w:val="Normal"/>
        <w:numPr>
          <w:ilvl w:val="1"/>
          <w:numId w:val="5"/>
        </w:numPr>
        <w:spacing w:lineRule="auto" w:line="276" w:before="0" w:after="64"/>
        <w:ind w:left="810" w:hanging="44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Trong trường hợp Thỏa Thuận này chấm dứt theo quy định tại điểm b Khoản 2.2 Điều này , Bên vi phạm phải bồi thường toàn bộ thiệt hại thực tế phát sinh (nếu có) và chịu phạt vi phạm với mức bằng 8% giá trị phần nghĩa vụ Thỏa Thuận bị vi phạm. </w:t>
      </w:r>
    </w:p>
    <w:p>
      <w:pPr>
        <w:pStyle w:val="Normal"/>
        <w:keepNext w:val="true"/>
        <w:keepLines/>
        <w:numPr>
          <w:ilvl w:val="0"/>
          <w:numId w:val="0"/>
        </w:numPr>
        <w:spacing w:before="0" w:after="92"/>
        <w:ind w:left="-4" w:hanging="10"/>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6.</w:t>
      </w:r>
      <w:r>
        <w:rPr>
          <w:rFonts w:eastAsia="Arial" w:cs="Arial" w:ascii="Arial" w:hAnsi="Arial"/>
          <w:b/>
          <w:color w:val="000000"/>
          <w:sz w:val="24"/>
        </w:rPr>
        <w:t xml:space="preserve"> </w:t>
      </w:r>
      <w:r>
        <w:rPr>
          <w:rFonts w:eastAsia="Times New Roman" w:cs="Times New Roman" w:ascii="Times New Roman" w:hAnsi="Times New Roman"/>
          <w:b/>
          <w:color w:val="000000"/>
          <w:sz w:val="24"/>
        </w:rPr>
        <w:t xml:space="preserve">ĐIỀU KHOẢN THI HÀNH </w:t>
      </w:r>
    </w:p>
    <w:p>
      <w:pPr>
        <w:pStyle w:val="Normal"/>
        <w:numPr>
          <w:ilvl w:val="0"/>
          <w:numId w:val="6"/>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Thỏa thuận này có hiệu lực từ ngày ....../....../...... cho đến khi xảy ra các sự kiện chấm dứt Thỏa thuận quy định tại Khoản 2 Điều 5 Thỏa thuận này.  </w:t>
      </w:r>
    </w:p>
    <w:p>
      <w:pPr>
        <w:pStyle w:val="Normal"/>
        <w:numPr>
          <w:ilvl w:val="0"/>
          <w:numId w:val="6"/>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Thỏa thuận này và tất cả các nghĩa vụ ngoài thỏa thuận và các nghĩa vụ khác phát sinh từ hoặc liên quan đến Thỏa thuận này sẽ được điều chỉnh và thực hiện theo pháp luật Việt Nam, mà không chịu ảnh hưởng của bất kỳ quy định nào về lựa chọn luật áp dụng hoặc xung đột pháp luật. Bất kỳ tranh chấp nào phát sinh từ hoặc liên quan đến sự tồn tại, diễn giải hoặc thực hiện hợp đồng này, bao gồm bất kỳ vấn đề gì về sự tồn tại, giá trị và việc chấm dứt Thỏa thuận, sẽ được đưa đến và giải quyết chung thẩm bằng phương thức trọng tài tại Việt Nam theo Điều lệ trọng tài của Trung tâm Trọng tài Quốc tế thuộc Phòng Thương mại và Công nghiệp Việt Nam tại thời điểm áp dụng. Chủ tịch Trung tâm Trọng tài Quốc tế sẽ chỉ định 03 (ba) trọng tài để giải quyết vụ việc. Nơi tổ chức phiên xử trọng tài là TP. Hồ Chí Minh. Ngôn ngữ sử dụng cho phiên xử trọng tài là Tiếng Việt. Quyết định trọng tài là chung thẩm và có giá trị ràng buộc các bên.  </w:t>
      </w:r>
    </w:p>
    <w:p>
      <w:pPr>
        <w:pStyle w:val="Normal"/>
        <w:numPr>
          <w:ilvl w:val="0"/>
          <w:numId w:val="6"/>
        </w:numPr>
        <w:spacing w:lineRule="auto" w:line="276" w:before="0" w:after="5"/>
        <w:ind w:left="359" w:hanging="359"/>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Thỏa thuận được lập làm 02 (hai) bản có giá trị pháp lý như nhau. Mỗi Bên giữ 01 (một) bản để thực hiện. </w:t>
      </w:r>
    </w:p>
    <w:p>
      <w:pPr>
        <w:pStyle w:val="Normal"/>
        <w:spacing w:lineRule="auto" w:line="276" w:before="0" w:after="5"/>
        <w:ind w:left="-4" w:hanging="1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4.</w:t>
      </w:r>
      <w:r>
        <w:rPr>
          <w:rFonts w:eastAsia="Arial" w:cs="Arial" w:ascii="Arial" w:hAnsi="Arial"/>
          <w:color w:val="000000"/>
          <w:sz w:val="24"/>
        </w:rPr>
        <w:t xml:space="preserve"> </w:t>
      </w:r>
      <w:r>
        <w:rPr>
          <w:rFonts w:eastAsia="Times New Roman" w:cs="Times New Roman" w:ascii="Times New Roman" w:hAnsi="Times New Roman"/>
          <w:color w:val="000000"/>
          <w:sz w:val="24"/>
        </w:rPr>
        <w:t xml:space="preserve"> </w:t>
      </w:r>
    </w:p>
    <w:p>
      <w:pPr>
        <w:pStyle w:val="Normal"/>
        <w:tabs>
          <w:tab w:val="clear" w:pos="720"/>
          <w:tab w:val="center" w:pos="3016" w:leader="none"/>
          <w:tab w:val="center" w:pos="7613" w:leader="none"/>
        </w:tabs>
        <w:spacing w:before="0" w:after="37"/>
        <w:rPr>
          <w:rFonts w:ascii="Times New Roman" w:hAnsi="Times New Roman" w:eastAsia="Times New Roman" w:cs="Times New Roman"/>
          <w:color w:val="000000"/>
          <w:sz w:val="24"/>
        </w:rPr>
      </w:pPr>
      <w:r>
        <w:rPr>
          <w:rFonts w:eastAsia="Calibri" w:cs="Calibri"/>
          <w:color w:val="000000"/>
        </w:rPr>
        <w:tab/>
      </w:r>
      <w:r>
        <w:rPr>
          <w:rFonts w:eastAsia="Times New Roman" w:cs="Times New Roman" w:ascii="Times New Roman" w:hAnsi="Times New Roman"/>
          <w:b/>
          <w:color w:val="000000"/>
          <w:sz w:val="24"/>
        </w:rPr>
        <w:t xml:space="preserve">ĐẠI DIỆN BÊN A </w:t>
        <w:tab/>
        <w:t xml:space="preserve">ĐẠI DIỆN BÊN B </w:t>
      </w:r>
    </w:p>
    <w:p>
      <w:pPr>
        <w:pStyle w:val="Normal"/>
        <w:spacing w:before="0" w:after="31"/>
        <w:ind w:left="3016"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 </w:t>
      </w:r>
    </w:p>
    <w:p>
      <w:pPr>
        <w:pStyle w:val="Normal"/>
        <w:spacing w:before="0" w:after="31"/>
        <w:ind w:left="3016"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 </w:t>
      </w:r>
    </w:p>
    <w:p>
      <w:pPr>
        <w:pStyle w:val="Normal"/>
        <w:spacing w:before="0" w:after="31"/>
        <w:ind w:left="816"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 </w:t>
      </w:r>
    </w:p>
    <w:p>
      <w:pPr>
        <w:pStyle w:val="Normal"/>
        <w:spacing w:before="0" w:after="31"/>
        <w:ind w:left="1971" w:hanging="1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ĐỖ KHẮC CƯỜNG </w:t>
      </w:r>
    </w:p>
    <w:p>
      <w:pPr>
        <w:pStyle w:val="Normal"/>
        <w:spacing w:before="0" w:after="84"/>
        <w:ind w:left="816"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 </w:t>
      </w:r>
    </w:p>
    <w:p>
      <w:pPr>
        <w:pStyle w:val="Normal"/>
        <w:spacing w:before="0" w:after="0"/>
        <w:ind w:left="76"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30"/>
        </w:rPr>
        <w:t xml:space="preserve"> </w:t>
      </w:r>
    </w:p>
    <w:p>
      <w:pPr>
        <w:pStyle w:val="Normal"/>
        <w:keepNext w:val="true"/>
        <w:keepLines/>
        <w:numPr>
          <w:ilvl w:val="0"/>
          <w:numId w:val="0"/>
        </w:numPr>
        <w:spacing w:before="0" w:after="0"/>
        <w:ind w:left="2" w:hanging="0"/>
        <w:jc w:val="center"/>
        <w:outlineLvl w:val="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30"/>
        </w:rPr>
        <w:t xml:space="preserve">PHỤ LỤC </w:t>
      </w:r>
    </w:p>
    <w:p>
      <w:pPr>
        <w:pStyle w:val="Normal"/>
        <w:spacing w:before="0" w:after="0"/>
        <w:ind w:left="881"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6"/>
        </w:rPr>
        <w:t xml:space="preserve">PHÂN LOẠI DỊCH VỤ, PHÍ DỊCH VỤ &amp; HÌNH THỨC THANH TOÁN </w:t>
      </w:r>
    </w:p>
    <w:p>
      <w:pPr>
        <w:pStyle w:val="Normal"/>
        <w:spacing w:before="0" w:after="137"/>
        <w:ind w:left="1180" w:hanging="0"/>
        <w:rPr>
          <w:rFonts w:ascii="Times New Roman" w:hAnsi="Times New Roman" w:eastAsia="Times New Roman" w:cs="Times New Roman"/>
          <w:color w:val="000000"/>
          <w:sz w:val="24"/>
        </w:rPr>
      </w:pPr>
      <w:r>
        <w:rPr>
          <w:rFonts w:eastAsia="Times New Roman" w:cs="Times New Roman" w:ascii="Times New Roman" w:hAnsi="Times New Roman"/>
          <w:i/>
          <w:color w:val="000000"/>
          <w:sz w:val="20"/>
        </w:rPr>
        <w:t xml:space="preserve">(Đính kèm Thỏa thuận hợp tác số MOMO........................., ký ngày ...... tháng ...... năm 20......) </w:t>
      </w:r>
    </w:p>
    <w:p>
      <w:pPr>
        <w:pStyle w:val="Normal"/>
        <w:keepNext w:val="true"/>
        <w:keepLines/>
        <w:numPr>
          <w:ilvl w:val="0"/>
          <w:numId w:val="0"/>
        </w:numPr>
        <w:spacing w:before="0" w:after="0"/>
        <w:ind w:left="100" w:hanging="10"/>
        <w:outlineLvl w:val="1"/>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ĐIỀU 1. PHÂN LOẠI DỊCH VỤ</w:t>
      </w:r>
      <w:r>
        <w:rPr>
          <w:rFonts w:eastAsia="Times New Roman" w:cs="Times New Roman" w:ascii="Times New Roman" w:hAnsi="Times New Roman"/>
          <w:color w:val="000000"/>
          <w:sz w:val="24"/>
        </w:rPr>
        <w:t xml:space="preserve"> </w:t>
      </w:r>
    </w:p>
    <w:tbl>
      <w:tblPr>
        <w:tblStyle w:val="TableGrid"/>
        <w:tblW w:w="9902" w:type="dxa"/>
        <w:jc w:val="left"/>
        <w:tblInd w:w="182" w:type="dxa"/>
        <w:tblCellMar>
          <w:top w:w="12" w:type="dxa"/>
          <w:left w:w="106" w:type="dxa"/>
          <w:bottom w:w="0" w:type="dxa"/>
          <w:right w:w="115" w:type="dxa"/>
        </w:tblCellMar>
        <w:tblLook w:val="04a0" w:noHBand="0" w:noVBand="1" w:firstColumn="1" w:lastRow="0" w:lastColumn="0" w:firstRow="1"/>
      </w:tblPr>
      <w:tblGrid>
        <w:gridCol w:w="3237"/>
        <w:gridCol w:w="3689"/>
        <w:gridCol w:w="2976"/>
      </w:tblGrid>
      <w:tr>
        <w:trPr>
          <w:trHeight w:val="298" w:hRule="atLeast"/>
        </w:trPr>
        <w:tc>
          <w:tcPr>
            <w:tcW w:w="32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5"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Ăn uống </w:t>
            </w:r>
          </w:p>
        </w:tc>
        <w:tc>
          <w:tcPr>
            <w:tcW w:w="36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8"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Mua sắm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3"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Giải trí &amp; dịch vụ </w:t>
            </w:r>
          </w:p>
        </w:tc>
      </w:tr>
      <w:tr>
        <w:trPr>
          <w:trHeight w:val="1512" w:hRule="atLeast"/>
        </w:trPr>
        <w:tc>
          <w:tcPr>
            <w:tcW w:w="32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9"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Tiệm đồ uống </w:t>
            </w:r>
          </w:p>
          <w:p>
            <w:pPr>
              <w:pStyle w:val="Normal"/>
              <w:spacing w:lineRule="auto" w:line="240" w:before="0" w:after="0"/>
              <w:ind w:left="349"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Tiệm bánh </w:t>
            </w:r>
          </w:p>
          <w:p>
            <w:pPr>
              <w:pStyle w:val="Normal"/>
              <w:spacing w:lineRule="auto" w:line="235" w:before="0" w:after="5"/>
              <w:ind w:left="349" w:right="51"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Quán ăn nhanh/ăn vặt     Nhà hàng/Tiệm ăn </w:t>
            </w:r>
          </w:p>
          <w:p>
            <w:pPr>
              <w:pStyle w:val="Normal"/>
              <w:spacing w:lineRule="auto" w:line="240" w:before="0" w:after="0"/>
              <w:ind w:right="15" w:hanging="0"/>
              <w:jc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Khác ............................ </w:t>
            </w:r>
          </w:p>
        </w:tc>
        <w:tc>
          <w:tcPr>
            <w:tcW w:w="36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9"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Siêu thị mini/Cửa hàng tiện lợi </w:t>
            </w:r>
          </w:p>
          <w:p>
            <w:pPr>
              <w:pStyle w:val="Normal"/>
              <w:spacing w:lineRule="auto" w:line="240" w:before="0" w:after="0"/>
              <w:ind w:left="349" w:right="847"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Cửa hàng tạp hóa  Hiệu thuốc tây </w:t>
            </w:r>
          </w:p>
          <w:p>
            <w:pPr>
              <w:pStyle w:val="Normal"/>
              <w:spacing w:lineRule="auto" w:line="240" w:before="0" w:after="0"/>
              <w:ind w:left="349"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Khác ............................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53"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Game </w:t>
            </w:r>
          </w:p>
          <w:p>
            <w:pPr>
              <w:pStyle w:val="Normal"/>
              <w:spacing w:lineRule="auto" w:line="240" w:before="0" w:after="0"/>
              <w:ind w:left="353"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Karaoke </w:t>
            </w:r>
          </w:p>
          <w:p>
            <w:pPr>
              <w:pStyle w:val="Normal"/>
              <w:spacing w:lineRule="auto" w:line="240" w:before="0" w:after="0"/>
              <w:ind w:left="353"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Spa </w:t>
            </w:r>
          </w:p>
          <w:p>
            <w:pPr>
              <w:pStyle w:val="Normal"/>
              <w:spacing w:lineRule="auto" w:line="240" w:before="0" w:after="0"/>
              <w:ind w:left="353"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Hotel </w:t>
            </w:r>
          </w:p>
          <w:p>
            <w:pPr>
              <w:pStyle w:val="Normal"/>
              <w:spacing w:lineRule="auto" w:line="240" w:before="0" w:after="0"/>
              <w:ind w:left="353"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Khác ............................ </w:t>
            </w:r>
          </w:p>
        </w:tc>
      </w:tr>
    </w:tbl>
    <w:p>
      <w:pPr>
        <w:pStyle w:val="Normal"/>
        <w:spacing w:before="0" w:after="21"/>
        <w:ind w:left="90" w:hanging="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ĐIỀU 2. DANH MỤC NGÀNH NGHỀ </w:t>
      </w:r>
      <w:r>
        <w:rPr>
          <w:rFonts w:eastAsia="Times New Roman" w:cs="Times New Roman" w:ascii="Times New Roman" w:hAnsi="Times New Roman"/>
          <w:color w:val="000000"/>
          <w:sz w:val="20"/>
        </w:rPr>
        <w:t xml:space="preserve">(kê khai trong trường hợp không có Giấy phép Kinh doanh) </w:t>
      </w:r>
    </w:p>
    <w:p>
      <w:pPr>
        <w:pStyle w:val="Normal"/>
        <w:spacing w:before="0" w:after="2"/>
        <w:ind w:left="180" w:hanging="0"/>
        <w:rPr>
          <w:rFonts w:ascii="Times New Roman" w:hAnsi="Times New Roman" w:eastAsia="Times New Roman" w:cs="Times New Roman"/>
          <w:color w:val="000000"/>
          <w:sz w:val="24"/>
        </w:rPr>
      </w:pPr>
      <w:r>
        <w:rPr>
          <w:rFonts w:eastAsia="Times New Roman" w:cs="Times New Roman" w:ascii="Times New Roman" w:hAnsi="Times New Roman"/>
          <w:i/>
          <w:color w:val="000000"/>
        </w:rPr>
        <w:t>Đối tác chọn một loại ngành nghề phù hợp với quy định trong mẫu 01/CNKD – Thông tư 92/2015/TT-BTC</w:t>
      </w:r>
      <w:r>
        <w:rPr>
          <w:rFonts w:eastAsia="Times New Roman" w:cs="Times New Roman" w:ascii="Times New Roman" w:hAnsi="Times New Roman"/>
          <w:color w:val="000000"/>
        </w:rPr>
        <w:t xml:space="preserve"> </w:t>
      </w:r>
    </w:p>
    <w:p>
      <w:pPr>
        <w:pStyle w:val="Normal"/>
        <w:pBdr>
          <w:top w:val="single" w:sz="4" w:space="0" w:color="000000"/>
          <w:left w:val="single" w:sz="4" w:space="0" w:color="000000"/>
          <w:bottom w:val="single" w:sz="4" w:space="0" w:color="000000"/>
          <w:right w:val="single" w:sz="4" w:space="0" w:color="000000"/>
        </w:pBdr>
        <w:spacing w:lineRule="auto" w:line="247" w:before="0" w:after="12"/>
        <w:ind w:left="470" w:right="684" w:hanging="1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Phân phối, cung cấp hàng hóa </w:t>
      </w:r>
    </w:p>
    <w:p>
      <w:pPr>
        <w:pStyle w:val="Normal"/>
        <w:pBdr>
          <w:top w:val="single" w:sz="4" w:space="0" w:color="000000"/>
          <w:left w:val="single" w:sz="4" w:space="0" w:color="000000"/>
          <w:bottom w:val="single" w:sz="4" w:space="0" w:color="000000"/>
          <w:right w:val="single" w:sz="4" w:space="0" w:color="000000"/>
        </w:pBdr>
        <w:spacing w:lineRule="auto" w:line="247" w:before="0" w:after="12"/>
        <w:ind w:left="470" w:right="684" w:hanging="1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Dịch vụ, xây dựng không bao thầu nguyên vật liệu </w:t>
      </w:r>
    </w:p>
    <w:p>
      <w:pPr>
        <w:pStyle w:val="Normal"/>
        <w:pBdr>
          <w:top w:val="single" w:sz="4" w:space="0" w:color="000000"/>
          <w:left w:val="single" w:sz="4" w:space="0" w:color="000000"/>
          <w:bottom w:val="single" w:sz="4" w:space="0" w:color="000000"/>
          <w:right w:val="single" w:sz="4" w:space="0" w:color="000000"/>
        </w:pBdr>
        <w:spacing w:lineRule="auto" w:line="247" w:before="0" w:after="200"/>
        <w:ind w:left="470" w:right="684" w:hanging="1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Sản xuất, vận tải, dịch vụ có gắn với hàng hóa, xây dựng có bao thầu nguyên vật liệu  Hoạt động kinh doanh khác </w:t>
      </w:r>
    </w:p>
    <w:p>
      <w:pPr>
        <w:pStyle w:val="Normal"/>
        <w:keepNext w:val="true"/>
        <w:keepLines/>
        <w:numPr>
          <w:ilvl w:val="0"/>
          <w:numId w:val="0"/>
        </w:numPr>
        <w:spacing w:before="0" w:after="0"/>
        <w:ind w:left="100" w:hanging="10"/>
        <w:outlineLvl w:val="1"/>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ĐIỀU 3. PHÍ DỊCH VỤ &amp; HÌNH THỨC THANH TOÁN  </w:t>
      </w:r>
    </w:p>
    <w:tbl>
      <w:tblPr>
        <w:tblStyle w:val="TableGrid"/>
        <w:tblW w:w="10061" w:type="dxa"/>
        <w:jc w:val="left"/>
        <w:tblInd w:w="134" w:type="dxa"/>
        <w:tblCellMar>
          <w:top w:w="137" w:type="dxa"/>
          <w:left w:w="110" w:type="dxa"/>
          <w:bottom w:w="0" w:type="dxa"/>
          <w:right w:w="115" w:type="dxa"/>
        </w:tblCellMar>
        <w:tblLook w:val="04a0" w:noHBand="0" w:noVBand="1" w:firstColumn="1" w:lastRow="0" w:lastColumn="0" w:firstRow="1"/>
      </w:tblPr>
      <w:tblGrid>
        <w:gridCol w:w="10061"/>
      </w:tblGrid>
      <w:tr>
        <w:trPr>
          <w:trHeight w:val="864" w:hRule="atLeast"/>
        </w:trPr>
        <w:tc>
          <w:tcPr>
            <w:tcW w:w="100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93"/>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Phí dịch vụ ……..% chưa bao gồm VAT.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Bên A sẽ tiến hành trừ Phí dịch vụ trực tiếp trên mỗi giao dịch thành công. </w:t>
            </w:r>
          </w:p>
        </w:tc>
      </w:tr>
      <w:tr>
        <w:trPr>
          <w:trHeight w:val="1258" w:hRule="atLeast"/>
        </w:trPr>
        <w:tc>
          <w:tcPr>
            <w:tcW w:w="100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93"/>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Hình thức thanh toán – Qua ví MoMo </w:t>
            </w:r>
          </w:p>
          <w:p>
            <w:pPr>
              <w:pStyle w:val="Normal"/>
              <w:numPr>
                <w:ilvl w:val="0"/>
                <w:numId w:val="7"/>
              </w:numPr>
              <w:spacing w:lineRule="auto" w:line="276" w:before="0" w:after="93"/>
              <w:ind w:left="140" w:hanging="1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Số ví MoMo đăng ký nhận tiền:……………………………………………………………….. </w:t>
            </w:r>
          </w:p>
          <w:p>
            <w:pPr>
              <w:pStyle w:val="Normal"/>
              <w:numPr>
                <w:ilvl w:val="0"/>
                <w:numId w:val="7"/>
              </w:numPr>
              <w:spacing w:lineRule="auto" w:line="276" w:before="0" w:after="0"/>
              <w:ind w:left="140" w:hanging="14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Thời gian thanh toán: T+1, 12h00 mỗi ngày.</w:t>
            </w:r>
            <w:r>
              <w:rPr>
                <w:rFonts w:eastAsia="Times New Roman" w:cs="Times New Roman" w:ascii="Times New Roman" w:hAnsi="Times New Roman"/>
                <w:b/>
                <w:color w:val="000000"/>
                <w:sz w:val="24"/>
              </w:rPr>
              <w:t xml:space="preserve"> </w:t>
            </w:r>
          </w:p>
        </w:tc>
      </w:tr>
    </w:tbl>
    <w:p>
      <w:pPr>
        <w:pStyle w:val="Normal"/>
        <w:keepNext w:val="true"/>
        <w:keepLines/>
        <w:numPr>
          <w:ilvl w:val="0"/>
          <w:numId w:val="0"/>
        </w:numPr>
        <w:spacing w:before="0" w:after="0"/>
        <w:ind w:left="-4" w:hanging="10"/>
        <w:outlineLvl w:val="1"/>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ĐIỀU 4. THÔNG TIN CỬA HÀNG </w:t>
      </w:r>
    </w:p>
    <w:tbl>
      <w:tblPr>
        <w:tblStyle w:val="TableGrid"/>
        <w:tblW w:w="10128" w:type="dxa"/>
        <w:jc w:val="left"/>
        <w:tblInd w:w="115" w:type="dxa"/>
        <w:tblCellMar>
          <w:top w:w="81" w:type="dxa"/>
          <w:left w:w="106" w:type="dxa"/>
          <w:bottom w:w="0" w:type="dxa"/>
          <w:right w:w="56" w:type="dxa"/>
        </w:tblCellMar>
        <w:tblLook w:val="04a0" w:noHBand="0" w:noVBand="1" w:firstColumn="1" w:lastRow="0" w:lastColumn="0" w:firstRow="1"/>
      </w:tblPr>
      <w:tblGrid>
        <w:gridCol w:w="7415"/>
        <w:gridCol w:w="2712"/>
      </w:tblGrid>
      <w:tr>
        <w:trPr>
          <w:trHeight w:val="384" w:hRule="atLeast"/>
        </w:trPr>
        <w:tc>
          <w:tcPr>
            <w:tcW w:w="74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54"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1"/>
              </w:rPr>
              <w:t xml:space="preserve">Danh sách cửa hàng </w:t>
            </w:r>
          </w:p>
        </w:tc>
        <w:tc>
          <w:tcPr>
            <w:tcW w:w="27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50"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1"/>
              </w:rPr>
              <w:t xml:space="preserve">SĐT nhận thông báo </w:t>
            </w:r>
          </w:p>
        </w:tc>
      </w:tr>
      <w:tr>
        <w:trPr>
          <w:trHeight w:val="2357" w:hRule="atLeast"/>
        </w:trPr>
        <w:tc>
          <w:tcPr>
            <w:tcW w:w="74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03"/>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p>
            <w:pPr>
              <w:pStyle w:val="Normal"/>
              <w:spacing w:lineRule="auto" w:line="240" w:before="0" w:after="93"/>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b/>
                <w:color w:val="000000"/>
                <w:sz w:val="20"/>
              </w:rPr>
              <w:t xml:space="preserve"> </w:t>
            </w:r>
          </w:p>
        </w:tc>
        <w:tc>
          <w:tcPr>
            <w:tcW w:w="27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03"/>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 xml:space="preserve">.. </w:t>
            </w:r>
          </w:p>
          <w:p>
            <w:pPr>
              <w:pStyle w:val="Normal"/>
              <w:spacing w:lineRule="auto" w:line="240" w:before="0" w:after="9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 xml:space="preserve">.. </w:t>
            </w:r>
          </w:p>
          <w:p>
            <w:pPr>
              <w:pStyle w:val="Normal"/>
              <w:spacing w:lineRule="auto" w:line="240" w:before="0" w:after="93"/>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 xml:space="preserve">.. </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w:t>
            </w:r>
            <w:r>
              <w:rPr>
                <w:rFonts w:eastAsia="Times New Roman" w:cs="Times New Roman" w:ascii="Times New Roman" w:hAnsi="Times New Roman"/>
                <w:color w:val="000000"/>
                <w:sz w:val="20"/>
              </w:rPr>
              <w:t>..</w:t>
            </w:r>
            <w:r>
              <w:rPr>
                <w:rFonts w:eastAsia="Times New Roman" w:cs="Times New Roman" w:ascii="Times New Roman" w:hAnsi="Times New Roman"/>
                <w:b/>
                <w:color w:val="000000"/>
                <w:sz w:val="20"/>
              </w:rPr>
              <w:t xml:space="preserve"> </w:t>
            </w:r>
          </w:p>
        </w:tc>
      </w:tr>
    </w:tbl>
    <w:p>
      <w:pPr>
        <w:pStyle w:val="Normal"/>
        <w:keepNext w:val="true"/>
        <w:keepLines/>
        <w:numPr>
          <w:ilvl w:val="0"/>
          <w:numId w:val="0"/>
        </w:numPr>
        <w:spacing w:before="0" w:after="0"/>
        <w:ind w:left="-4" w:hanging="10"/>
        <w:outlineLvl w:val="1"/>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ĐIỀU 5. THÔNG TIN ĐẦU MỐI LIÊN HỆ </w:t>
      </w:r>
    </w:p>
    <w:tbl>
      <w:tblPr>
        <w:tblStyle w:val="TableGrid"/>
        <w:tblW w:w="10166" w:type="dxa"/>
        <w:jc w:val="left"/>
        <w:tblInd w:w="115" w:type="dxa"/>
        <w:tblCellMar>
          <w:top w:w="17" w:type="dxa"/>
          <w:left w:w="106" w:type="dxa"/>
          <w:bottom w:w="0" w:type="dxa"/>
          <w:right w:w="115" w:type="dxa"/>
        </w:tblCellMar>
        <w:tblLook w:val="04a0" w:noHBand="0" w:noVBand="1" w:firstColumn="1" w:lastRow="0" w:lastColumn="0" w:firstRow="1"/>
      </w:tblPr>
      <w:tblGrid>
        <w:gridCol w:w="5125"/>
        <w:gridCol w:w="5040"/>
      </w:tblGrid>
      <w:tr>
        <w:trPr>
          <w:trHeight w:val="427" w:hRule="atLeast"/>
        </w:trPr>
        <w:tc>
          <w:tcPr>
            <w:tcW w:w="51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8"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ĐẠI DIỆN BÊN A </w:t>
            </w:r>
          </w:p>
        </w:tc>
        <w:tc>
          <w:tcPr>
            <w:tcW w:w="50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4"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ĐẠI DIỆN BÊN B </w:t>
            </w:r>
          </w:p>
        </w:tc>
      </w:tr>
      <w:tr>
        <w:trPr>
          <w:trHeight w:val="835" w:hRule="atLeast"/>
        </w:trPr>
        <w:tc>
          <w:tcPr>
            <w:tcW w:w="51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Hotline: 1900636652 </w:t>
            </w:r>
          </w:p>
        </w:tc>
        <w:tc>
          <w:tcPr>
            <w:tcW w:w="50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12"/>
              <w:ind w:left="5"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p>
            <w:pPr>
              <w:pStyle w:val="Normal"/>
              <w:spacing w:lineRule="auto" w:line="240" w:before="0" w:after="0"/>
              <w:ind w:left="5"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tc>
      </w:tr>
    </w:tbl>
    <w:p>
      <w:pPr>
        <w:pStyle w:val="Normal"/>
        <w:spacing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0"/>
        </w:rPr>
        <w:t xml:space="preserve"> </w:t>
      </w:r>
    </w:p>
    <w:tbl>
      <w:tblPr>
        <w:tblStyle w:val="TableGrid"/>
        <w:tblW w:w="10166" w:type="dxa"/>
        <w:jc w:val="left"/>
        <w:tblInd w:w="115" w:type="dxa"/>
        <w:tblCellMar>
          <w:top w:w="17" w:type="dxa"/>
          <w:left w:w="106" w:type="dxa"/>
          <w:bottom w:w="0" w:type="dxa"/>
          <w:right w:w="115" w:type="dxa"/>
        </w:tblCellMar>
        <w:tblLook w:val="04a0" w:noHBand="0" w:noVBand="1" w:firstColumn="1" w:lastRow="0" w:lastColumn="0" w:firstRow="1"/>
      </w:tblPr>
      <w:tblGrid>
        <w:gridCol w:w="10166"/>
      </w:tblGrid>
      <w:tr>
        <w:trPr>
          <w:trHeight w:val="518" w:hRule="atLeast"/>
        </w:trPr>
        <w:tc>
          <w:tcPr>
            <w:tcW w:w="101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8" w:hanging="0"/>
              <w:jc w:val="center"/>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 xml:space="preserve">PHẦN DÀNH CHO CÔNG TY CỔ PHẦN DỊCH VỤ DI ĐỘNG TRỰC TUYẾN </w:t>
            </w:r>
          </w:p>
        </w:tc>
      </w:tr>
      <w:tr>
        <w:trPr>
          <w:trHeight w:val="840" w:hRule="atLeast"/>
        </w:trPr>
        <w:tc>
          <w:tcPr>
            <w:tcW w:w="101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17"/>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Kiểm tra bởi: ……………………………….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Ngày: ……………………………………..... </w:t>
            </w:r>
          </w:p>
        </w:tc>
      </w:tr>
    </w:tbl>
    <w:p>
      <w:pPr>
        <w:pStyle w:val="Normal"/>
        <w:spacing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p>
      <w:pPr>
        <w:pStyle w:val="Normal"/>
        <w:spacing w:before="0" w:after="160"/>
        <w:rPr>
          <w:rFonts w:ascii="Times New Roman" w:hAnsi="Times New Roman" w:cs="Times New Roman"/>
        </w:rPr>
      </w:pPr>
      <w:r>
        <w:rPr/>
      </w:r>
    </w:p>
    <w:sectPr>
      <w:headerReference w:type="default" r:id="rId2"/>
      <w:footerReference w:type="default" r:id="rId3"/>
      <w:type w:val="nextPage"/>
      <w:pgSz w:w="11906" w:h="16838"/>
      <w:pgMar w:left="989" w:right="1011" w:header="137" w:top="1180" w:footer="434" w:bottom="109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950" w:leader="none"/>
        <w:tab w:val="right" w:pos="9900" w:leader="none"/>
      </w:tabs>
      <w:spacing w:before="0" w:after="0"/>
      <w:rPr/>
    </w:pPr>
    <w:r>
      <mc:AlternateContent>
        <mc:Choice Requires="wpg">
          <w:drawing>
            <wp:anchor behindDoc="1" distT="0" distB="0" distL="114300" distR="114300" simplePos="0" locked="0" layoutInCell="1" allowOverlap="1" relativeHeight="6" wp14:anchorId="74A46A92">
              <wp:simplePos x="0" y="0"/>
              <wp:positionH relativeFrom="page">
                <wp:posOffset>609600</wp:posOffset>
              </wp:positionH>
              <wp:positionV relativeFrom="page">
                <wp:posOffset>10204450</wp:posOffset>
              </wp:positionV>
              <wp:extent cx="6326505" cy="38735"/>
              <wp:effectExtent l="0" t="0" r="0" b="0"/>
              <wp:wrapSquare wrapText="bothSides"/>
              <wp:docPr id="2" name="Group 19648"/>
              <a:graphic xmlns:a="http://schemas.openxmlformats.org/drawingml/2006/main">
                <a:graphicData uri="http://schemas.microsoft.com/office/word/2010/wordprocessingGroup">
                  <wpg:wgp>
                    <wpg:cNvGrpSpPr/>
                    <wpg:grpSpPr>
                      <a:xfrm>
                        <a:off x="0" y="0"/>
                        <a:ext cx="6325920" cy="38160"/>
                      </a:xfrm>
                    </wpg:grpSpPr>
                    <wps:wsp>
                      <wps:cNvSpPr/>
                      <wps:spPr>
                        <a:xfrm>
                          <a:off x="0" y="0"/>
                          <a:ext cx="6325920" cy="38160"/>
                        </a:xfrm>
                        <a:custGeom>
                          <a:avLst/>
                          <a:gdLst/>
                          <a:ahLst/>
                          <a:rect l="l" t="t" r="r" b="b"/>
                          <a:pathLst>
                            <a:path w="6324600" h="36576">
                              <a:moveTo>
                                <a:pt x="0" y="0"/>
                              </a:moveTo>
                              <a:lnTo>
                                <a:pt x="6324600" y="0"/>
                              </a:lnTo>
                              <a:lnTo>
                                <a:pt x="6324600" y="36576"/>
                              </a:lnTo>
                              <a:lnTo>
                                <a:pt x="0" y="36576"/>
                              </a:lnTo>
                              <a:lnTo>
                                <a:pt x="0" y="0"/>
                              </a:lnTo>
                            </a:path>
                          </a:pathLst>
                        </a:custGeom>
                        <a:solidFill>
                          <a:srgbClr val="612421"/>
                        </a:solidFill>
                        <a:ln>
                          <a:noFill/>
                        </a:ln>
                      </wps:spPr>
                      <wps:style>
                        <a:lnRef idx="0"/>
                        <a:fillRef idx="0"/>
                        <a:effectRef idx="0"/>
                        <a:fontRef idx="minor"/>
                      </wps:style>
                      <wps:bodyPr/>
                    </wps:wsp>
                  </wpg:wgp>
                </a:graphicData>
              </a:graphic>
            </wp:anchor>
          </w:drawing>
        </mc:Choice>
        <mc:Fallback>
          <w:pict>
            <v:group id="shape_0" alt="Group 19648" style="position:absolute;margin-left:48pt;margin-top:803.5pt;width:498.1pt;height:3pt" coordorigin="960,16070" coordsize="9962,60"/>
          </w:pict>
        </mc:Fallback>
      </mc:AlternateContent>
    </w:r>
    <w:r>
      <w:rPr>
        <w:rFonts w:eastAsia="Times New Roman" w:cs="Times New Roman" w:ascii="Times New Roman" w:hAnsi="Times New Roman"/>
      </w:rPr>
      <w:t xml:space="preserve">PC-QĐ-03.OPC.BM01 </w:t>
      <w:tab/>
      <w:t xml:space="preserve">Trang </w:t>
    </w:r>
    <w:r>
      <w:rPr/>
      <w:fldChar w:fldCharType="begin"/>
    </w:r>
    <w:r>
      <w:rPr/>
      <w:instrText> PAGE </w:instrText>
    </w:r>
    <w:r>
      <w:rPr/>
      <w:fldChar w:fldCharType="separate"/>
    </w:r>
    <w:r>
      <w:rPr/>
      <w:t>5</w:t>
    </w:r>
    <w:r>
      <w:rPr/>
      <w:fldChar w:fldCharType="end"/>
    </w:r>
    <w:r>
      <w:rPr>
        <w:rFonts w:eastAsia="Times New Roman" w:cs="Times New Roman" w:ascii="Times New Roman" w:hAnsi="Times New Roman"/>
      </w:rPr>
      <w:t>/</w:t>
    </w:r>
    <w:r>
      <w:rPr/>
      <w:fldChar w:fldCharType="begin"/>
    </w:r>
    <w:r>
      <w:rPr/>
      <w:instrText> NUMPAGES </w:instrText>
    </w:r>
    <w:r>
      <w:rPr/>
      <w:fldChar w:fldCharType="separate"/>
    </w:r>
    <w:r>
      <w:rPr/>
      <w:t>5</w:t>
    </w:r>
    <w:r>
      <w:rPr/>
      <w:fldChar w:fldCharType="end"/>
    </w:r>
    <w:r>
      <w:rPr>
        <w:rFonts w:eastAsia="Times New Roman" w:cs="Times New Roman" w:ascii="Times New Roman" w:hAnsi="Times New Roman"/>
      </w:rPr>
      <w:t xml:space="preserve"> </w:t>
      <w:tab/>
      <w:t>Rev:05</w: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989" w:right="10889" w:hanging="0"/>
      <w:rPr/>
    </w:pPr>
    <w:r>
      <w:rPr/>
      <mc:AlternateContent>
        <mc:Choice Requires="wpg">
          <w:drawing>
            <wp:anchor behindDoc="1" distT="0" distB="0" distL="114300" distR="114300" simplePos="0" locked="0" layoutInCell="1" allowOverlap="1" relativeHeight="11" wp14:anchorId="4D949004">
              <wp:simplePos x="0" y="0"/>
              <wp:positionH relativeFrom="page">
                <wp:posOffset>539115</wp:posOffset>
              </wp:positionH>
              <wp:positionV relativeFrom="page">
                <wp:posOffset>0</wp:posOffset>
              </wp:positionV>
              <wp:extent cx="6356350" cy="582295"/>
              <wp:effectExtent l="0" t="0" r="0" b="0"/>
              <wp:wrapSquare wrapText="bothSides"/>
              <wp:docPr id="1" name="Group 19621"/>
              <a:graphic xmlns:a="http://schemas.openxmlformats.org/drawingml/2006/main">
                <a:graphicData uri="http://schemas.microsoft.com/office/word/2010/wordprocessingGroup">
                  <wpg:wgp>
                    <wpg:cNvGrpSpPr/>
                    <wpg:grpSpPr>
                      <a:xfrm>
                        <a:off x="0" y="0"/>
                        <a:ext cx="6355800" cy="581760"/>
                      </a:xfrm>
                    </wpg:grpSpPr>
                    <pic:pic xmlns:pic="http://schemas.openxmlformats.org/drawingml/2006/picture">
                      <pic:nvPicPr>
                        <pic:cNvPr id="0" name="Picture 19622" descr=""/>
                        <pic:cNvPicPr/>
                      </pic:nvPicPr>
                      <pic:blipFill>
                        <a:blip r:embed="rId1"/>
                        <a:stretch/>
                      </pic:blipFill>
                      <pic:spPr>
                        <a:xfrm>
                          <a:off x="0" y="0"/>
                          <a:ext cx="507960" cy="494640"/>
                        </a:xfrm>
                        <a:prstGeom prst="rect">
                          <a:avLst/>
                        </a:prstGeom>
                        <a:ln>
                          <a:noFill/>
                        </a:ln>
                      </pic:spPr>
                    </pic:pic>
                    <wps:wsp>
                      <wps:cNvSpPr/>
                      <wps:spPr>
                        <a:xfrm>
                          <a:off x="48240" y="97200"/>
                          <a:ext cx="82080" cy="366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Theme="minorHAnsi" w:cstheme="minorBidi" w:eastAsiaTheme="minorHAnsi" w:hAnsiTheme="minorHAnsi" w:eastAsia="Times New Roman" w:cs="Times New Roman" w:ascii="Times New Roman" w:hAnsi="Times New Roman"/>
                                <w:color w:val="000000"/>
                              </w:rPr>
                              <w:t xml:space="preserve"> </w:t>
                            </w:r>
                          </w:p>
                        </w:txbxContent>
                      </wps:txbx>
                      <wps:bodyPr lIns="0" rIns="0" tIns="0" bIns="0">
                        <a:noAutofit/>
                      </wps:bodyPr>
                    </wps:wsp>
                    <wps:wsp>
                      <wps:cNvSpPr/>
                      <wps:spPr>
                        <a:xfrm>
                          <a:off x="48240" y="379800"/>
                          <a:ext cx="44280" cy="201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Times New Roman" w:cs="Times New Roman" w:ascii="Times New Roman" w:hAnsi="Times New Roman"/>
                                <w:color w:val="000000"/>
                              </w:rPr>
                              <w:t xml:space="preserve"> </w:t>
                            </w:r>
                          </w:p>
                        </w:txbxContent>
                      </wps:txbx>
                      <wps:bodyPr lIns="0" rIns="0" tIns="0" bIns="0">
                        <a:noAutofit/>
                      </wps:bodyPr>
                    </wps:wsp>
                    <wps:wsp>
                      <wps:cNvSpPr/>
                      <wps:spPr>
                        <a:xfrm>
                          <a:off x="29880" y="536400"/>
                          <a:ext cx="6325920" cy="34200"/>
                        </a:xfrm>
                        <a:custGeom>
                          <a:avLst/>
                          <a:gdLst/>
                          <a:ahLst/>
                          <a:rect l="l" t="t" r="r" b="b"/>
                          <a:pathLst>
                            <a:path w="6324600" h="36576">
                              <a:moveTo>
                                <a:pt x="0" y="0"/>
                              </a:moveTo>
                              <a:lnTo>
                                <a:pt x="6324600" y="0"/>
                              </a:lnTo>
                              <a:lnTo>
                                <a:pt x="6324600" y="36576"/>
                              </a:lnTo>
                              <a:lnTo>
                                <a:pt x="0" y="36576"/>
                              </a:lnTo>
                              <a:lnTo>
                                <a:pt x="0" y="0"/>
                              </a:lnTo>
                            </a:path>
                          </a:pathLst>
                        </a:custGeom>
                        <a:solidFill>
                          <a:srgbClr val="612421"/>
                        </a:solidFill>
                        <a:ln>
                          <a:noFill/>
                        </a:ln>
                      </wps:spPr>
                      <wps:style>
                        <a:lnRef idx="0"/>
                        <a:fillRef idx="0"/>
                        <a:effectRef idx="0"/>
                        <a:fontRef idx="minor"/>
                      </wps:style>
                      <wps:bodyPr/>
                    </wps:wsp>
                  </wpg:wgp>
                </a:graphicData>
              </a:graphic>
            </wp:anchor>
          </w:drawing>
        </mc:Choice>
        <mc:Fallback>
          <w:pict>
            <v:group id="shape_0" alt="Group 19621" style="position:absolute;margin-left:42.45pt;margin-top:0pt;width:500.45pt;height:45.8pt" coordorigin="849,0" coordsize="10009,91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622" stroked="f" style="position:absolute;left:849;top:0;width:799;height:778;mso-position-horizontal-relative:page;mso-position-vertical-relative:page" type="shapetype_75">
                <v:imagedata r:id="rId1" o:detectmouseclick="t"/>
                <w10:wrap type="none"/>
                <v:stroke color="#3465a4" joinstyle="round" endcap="flat"/>
              </v:shape>
              <v:rect id="shape_0" stroked="f" style="position:absolute;left:925;top:153;width:128;height:576;mso-position-horizontal-relative:page;mso-position-vertical-relative:page">
                <v:textbox>
                  <w:txbxContent>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Theme="minorHAnsi" w:cstheme="minorBidi" w:eastAsiaTheme="minorHAnsi" w:hAnsiTheme="minorHAnsi"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925;top:598;width:69;height:317;mso-position-horizontal-relative:page;mso-position-vertical-relative:page">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Times New Roman" w:cs="Times New Roman" w:ascii="Times New Roman" w:hAnsi="Times New Roman"/>
                          <w:color w:val="000000"/>
                        </w:rPr>
                        <w:t xml:space="preserve"> </w:t>
                      </w:r>
                    </w:p>
                  </w:txbxContent>
                </v:textbox>
                <w10:wrap type="squar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081"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1801"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521"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241"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961"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681"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401"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121"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2">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3">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4">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decimal"/>
      <w:lvlText w:val="%1.%2"/>
      <w:lvlJc w:val="left"/>
      <w:pPr>
        <w:tabs>
          <w:tab w:val="num" w:pos="0"/>
        </w:tabs>
        <w:ind w:left="90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5">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decimal"/>
      <w:lvlText w:val="%1.%2"/>
      <w:lvlJc w:val="left"/>
      <w:pPr>
        <w:tabs>
          <w:tab w:val="num" w:pos="0"/>
        </w:tabs>
        <w:ind w:left="81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Letter"/>
      <w:lvlText w:val="%3)"/>
      <w:lvlJc w:val="left"/>
      <w:pPr>
        <w:tabs>
          <w:tab w:val="num" w:pos="0"/>
        </w:tabs>
        <w:ind w:left="126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189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261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33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05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477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549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6">
    <w:lvl w:ilvl="0">
      <w:start w:val="1"/>
      <w:numFmt w:val="decimal"/>
      <w:lvlText w:val="%1."/>
      <w:lvlJc w:val="left"/>
      <w:pPr>
        <w:tabs>
          <w:tab w:val="num" w:pos="0"/>
        </w:tabs>
        <w:ind w:left="359"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7">
    <w:lvl w:ilvl="0">
      <w:start w:val="1"/>
      <w:numFmt w:val="bullet"/>
      <w:lvlText w:val="-"/>
      <w:lvlJc w:val="left"/>
      <w:pPr>
        <w:tabs>
          <w:tab w:val="num" w:pos="0"/>
        </w:tabs>
        <w:ind w:left="140" w:hanging="0"/>
      </w:pPr>
      <w:rPr>
        <w:rFonts w:ascii="Times New Roman" w:hAnsi="Times New Roman" w:cs="Times New Roman" w:hint="default"/>
      </w:rPr>
    </w:lvl>
    <w:lvl w:ilvl="1">
      <w:start w:val="1"/>
      <w:numFmt w:val="bullet"/>
      <w:lvlText w:val="o"/>
      <w:lvlJc w:val="left"/>
      <w:pPr>
        <w:tabs>
          <w:tab w:val="num" w:pos="0"/>
        </w:tabs>
        <w:ind w:left="1190" w:hanging="0"/>
      </w:pPr>
      <w:rPr>
        <w:rFonts w:ascii="Times New Roman" w:hAnsi="Times New Roman" w:cs="Times New Roman" w:hint="default"/>
      </w:rPr>
    </w:lvl>
    <w:lvl w:ilvl="2">
      <w:start w:val="1"/>
      <w:numFmt w:val="bullet"/>
      <w:lvlText w:val="▪"/>
      <w:lvlJc w:val="left"/>
      <w:pPr>
        <w:tabs>
          <w:tab w:val="num" w:pos="0"/>
        </w:tabs>
        <w:ind w:left="1910" w:hanging="0"/>
      </w:pPr>
      <w:rPr>
        <w:rFonts w:ascii="Times New Roman" w:hAnsi="Times New Roman" w:cs="Times New Roman" w:hint="default"/>
      </w:rPr>
    </w:lvl>
    <w:lvl w:ilvl="3">
      <w:start w:val="1"/>
      <w:numFmt w:val="bullet"/>
      <w:lvlText w:val="•"/>
      <w:lvlJc w:val="left"/>
      <w:pPr>
        <w:tabs>
          <w:tab w:val="num" w:pos="0"/>
        </w:tabs>
        <w:ind w:left="2630" w:hanging="0"/>
      </w:pPr>
      <w:rPr>
        <w:rFonts w:ascii="Times New Roman" w:hAnsi="Times New Roman" w:cs="Times New Roman" w:hint="default"/>
      </w:rPr>
    </w:lvl>
    <w:lvl w:ilvl="4">
      <w:start w:val="1"/>
      <w:numFmt w:val="bullet"/>
      <w:lvlText w:val="o"/>
      <w:lvlJc w:val="left"/>
      <w:pPr>
        <w:tabs>
          <w:tab w:val="num" w:pos="0"/>
        </w:tabs>
        <w:ind w:left="3350" w:hanging="0"/>
      </w:pPr>
      <w:rPr>
        <w:rFonts w:ascii="Times New Roman" w:hAnsi="Times New Roman" w:cs="Times New Roman" w:hint="default"/>
      </w:rPr>
    </w:lvl>
    <w:lvl w:ilvl="5">
      <w:start w:val="1"/>
      <w:numFmt w:val="bullet"/>
      <w:lvlText w:val="▪"/>
      <w:lvlJc w:val="left"/>
      <w:pPr>
        <w:tabs>
          <w:tab w:val="num" w:pos="0"/>
        </w:tabs>
        <w:ind w:left="4070" w:hanging="0"/>
      </w:pPr>
      <w:rPr>
        <w:rFonts w:ascii="Times New Roman" w:hAnsi="Times New Roman" w:cs="Times New Roman" w:hint="default"/>
      </w:rPr>
    </w:lvl>
    <w:lvl w:ilvl="6">
      <w:start w:val="1"/>
      <w:numFmt w:val="bullet"/>
      <w:lvlText w:val="•"/>
      <w:lvlJc w:val="left"/>
      <w:pPr>
        <w:tabs>
          <w:tab w:val="num" w:pos="0"/>
        </w:tabs>
        <w:ind w:left="4790" w:hanging="0"/>
      </w:pPr>
      <w:rPr>
        <w:rFonts w:ascii="Times New Roman" w:hAnsi="Times New Roman" w:cs="Times New Roman" w:hint="default"/>
      </w:rPr>
    </w:lvl>
    <w:lvl w:ilvl="7">
      <w:start w:val="1"/>
      <w:numFmt w:val="bullet"/>
      <w:lvlText w:val="o"/>
      <w:lvlJc w:val="left"/>
      <w:pPr>
        <w:tabs>
          <w:tab w:val="num" w:pos="0"/>
        </w:tabs>
        <w:ind w:left="5510" w:hanging="0"/>
      </w:pPr>
      <w:rPr>
        <w:rFonts w:ascii="Times New Roman" w:hAnsi="Times New Roman" w:cs="Times New Roman" w:hint="default"/>
      </w:rPr>
    </w:lvl>
    <w:lvl w:ilvl="8">
      <w:start w:val="1"/>
      <w:numFmt w:val="bullet"/>
      <w:lvlText w:val="▪"/>
      <w:lvlJc w:val="left"/>
      <w:pPr>
        <w:tabs>
          <w:tab w:val="num" w:pos="0"/>
        </w:tabs>
        <w:ind w:left="6230" w:hanging="0"/>
      </w:pPr>
      <w:rPr>
        <w:rFonts w:ascii="Times New Roman" w:hAnsi="Times New Roman" w:cs="Times New Roman"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cd5da1"/>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LibreOffice/6.4.7.2$Linux_X86_64 LibreOffice_project/40$Build-2</Application>
  <Pages>5</Pages>
  <Words>2726</Words>
  <Characters>10052</Characters>
  <CharactersWithSpaces>12831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2022-01-14T07:48:00Z</dcterms:created>
  <dc:creator>Quan</dc:creator>
  <dc:description/>
  <dc:language>en-US</dc:language>
  <cp:lastModifiedBy/>
  <dcterms:modified xsi:type="dcterms:W3CDTF">2022-01-16T22:43:19Z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