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软件造价计算：缺失信息与完整路径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结合你提供的功能点数据及软件造价计算逻辑，除了</w:t>
      </w:r>
      <w:r>
        <w:rPr>
          <w:rFonts w:eastAsia="等线" w:ascii="Arial" w:cs="Arial" w:hAnsi="Arial"/>
          <w:b w:val="true"/>
          <w:sz w:val="22"/>
        </w:rPr>
        <w:t>单市月人力成本</w:t>
      </w:r>
      <w:r>
        <w:rPr>
          <w:rFonts w:eastAsia="等线" w:ascii="Arial" w:cs="Arial" w:hAnsi="Arial"/>
          <w:sz w:val="22"/>
        </w:rPr>
        <w:t xml:space="preserve">外，你还缺失以下 </w:t>
      </w:r>
      <w:r>
        <w:rPr>
          <w:rFonts w:eastAsia="等线" w:ascii="Arial" w:cs="Arial" w:hAnsi="Arial"/>
          <w:b w:val="true"/>
          <w:sz w:val="22"/>
        </w:rPr>
        <w:t>4 组核心关键信息</w:t>
      </w:r>
      <w:r>
        <w:rPr>
          <w:rFonts w:eastAsia="等线" w:ascii="Arial" w:cs="Arial" w:hAnsi="Arial"/>
          <w:sz w:val="22"/>
        </w:rPr>
        <w:t>，才能完成从“功能规模”到“总造价（不含运维）”的完整换算：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1. 基础规模计算：总 UFP（未调整功能点总数）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目前缺失</w:t>
      </w:r>
      <w:r>
        <w:rPr>
          <w:rFonts w:eastAsia="等线" w:ascii="Arial" w:cs="Arial" w:hAnsi="Arial"/>
          <w:sz w:val="22"/>
        </w:rPr>
        <w:t>：表格中仅展示了</w:t>
      </w:r>
      <w:r>
        <w:rPr>
          <w:rFonts w:eastAsia="等线" w:ascii="Arial" w:cs="Arial" w:hAnsi="Arial"/>
          <w:b w:val="true"/>
          <w:sz w:val="22"/>
        </w:rPr>
        <w:t>单个功能项</w:t>
      </w:r>
      <w:r>
        <w:rPr>
          <w:rFonts w:eastAsia="等线" w:ascii="Arial" w:cs="Arial" w:hAnsi="Arial"/>
          <w:sz w:val="22"/>
        </w:rPr>
        <w:t xml:space="preserve">的 </w:t>
      </w:r>
      <w:r>
        <w:rPr>
          <w:rFonts w:eastAsia="Consolas" w:ascii="Consolas" w:cs="Consolas" w:hAnsi="Consolas"/>
          <w:sz w:val="22"/>
          <w:shd w:fill="EFF0F1"/>
        </w:rPr>
        <w:t>123 ufp</w:t>
      </w:r>
      <w:r>
        <w:rPr>
          <w:rFonts w:eastAsia="等线" w:ascii="Arial" w:cs="Arial" w:hAnsi="Arial"/>
          <w:sz w:val="22"/>
        </w:rPr>
        <w:t>（单功能权重分），但</w:t>
      </w:r>
      <w:r>
        <w:rPr>
          <w:rFonts w:eastAsia="等线" w:ascii="Arial" w:cs="Arial" w:hAnsi="Arial"/>
          <w:b w:val="true"/>
          <w:sz w:val="22"/>
        </w:rPr>
        <w:t>缺少总数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你需要做</w:t>
      </w:r>
      <w:r>
        <w:rPr>
          <w:rFonts w:eastAsia="等线" w:ascii="Arial" w:cs="Arial" w:hAnsi="Arial"/>
          <w:sz w:val="22"/>
        </w:rPr>
        <w:t xml:space="preserve">：将表格中所有行的 </w:t>
      </w:r>
      <w:r>
        <w:rPr>
          <w:rFonts w:eastAsia="Consolas" w:ascii="Consolas" w:cs="Consolas" w:hAnsi="Consolas"/>
          <w:sz w:val="22"/>
          <w:shd w:fill="EFF0F1"/>
        </w:rPr>
        <w:t>123 ufp</w:t>
      </w:r>
      <w:r>
        <w:rPr>
          <w:rFonts w:eastAsia="等线" w:ascii="Arial" w:cs="Arial" w:hAnsi="Arial"/>
          <w:sz w:val="22"/>
        </w:rPr>
        <w:t xml:space="preserve"> 数值进行</w:t>
      </w:r>
      <w:r>
        <w:rPr>
          <w:rFonts w:eastAsia="等线" w:ascii="Arial" w:cs="Arial" w:hAnsi="Arial"/>
          <w:b w:val="true"/>
          <w:sz w:val="22"/>
        </w:rPr>
        <w:t>求和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例如：ILF（10分）、EI（4分）、EQ（4分）等所有行的分数加在一起，得到最终的 </w:t>
      </w:r>
      <w:r>
        <w:rPr>
          <w:rFonts w:eastAsia="等线" w:ascii="Arial" w:cs="Arial" w:hAnsi="Arial"/>
          <w:b w:val="true"/>
          <w:sz w:val="22"/>
        </w:rPr>
        <w:t>Total UFP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计算逻辑：Total UFP = Σ(所有行的 123 ufp)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2. 规模调整：获取 [TCF] 技术复杂度因子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目前缺失</w:t>
      </w:r>
      <w:r>
        <w:rPr>
          <w:rFonts w:eastAsia="等线" w:ascii="Arial" w:cs="Arial" w:hAnsi="Arial"/>
          <w:sz w:val="22"/>
        </w:rPr>
        <w:t>：功能点估算的第二步是“技术复杂度调整”。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为什么需要</w:t>
      </w:r>
      <w:r>
        <w:rPr>
          <w:rFonts w:eastAsia="等线" w:ascii="Arial" w:cs="Arial" w:hAnsi="Arial"/>
          <w:sz w:val="22"/>
        </w:rPr>
        <w:t xml:space="preserve">：UFP 是基础分，必须乘以 </w:t>
      </w:r>
      <w:r>
        <w:rPr>
          <w:rFonts w:eastAsia="等线" w:ascii="Arial" w:cs="Arial" w:hAnsi="Arial"/>
          <w:b w:val="true"/>
          <w:sz w:val="22"/>
        </w:rPr>
        <w:t>技术复杂度因子（TCF, Technical Complexity Factor）</w:t>
      </w:r>
      <w:r>
        <w:rPr>
          <w:rFonts w:eastAsia="等线" w:ascii="Arial" w:cs="Arial" w:hAnsi="Arial"/>
          <w:sz w:val="22"/>
        </w:rPr>
        <w:t xml:space="preserve"> 才能得到最终的</w:t>
      </w:r>
      <w:r>
        <w:rPr>
          <w:rFonts w:eastAsia="等线" w:ascii="Arial" w:cs="Arial" w:hAnsi="Arial"/>
          <w:b w:val="true"/>
          <w:sz w:val="22"/>
        </w:rPr>
        <w:t>调整后功能点规模（AFP）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具体怎么找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需评估系统的 </w:t>
      </w:r>
      <w:r>
        <w:rPr>
          <w:rFonts w:eastAsia="等线" w:ascii="Arial" w:cs="Arial" w:hAnsi="Arial"/>
          <w:b w:val="true"/>
          <w:sz w:val="22"/>
        </w:rPr>
        <w:t>14 个技术因子</w:t>
      </w:r>
      <w:r>
        <w:rPr>
          <w:rFonts w:eastAsia="等线" w:ascii="Arial" w:cs="Arial" w:hAnsi="Arial"/>
          <w:sz w:val="22"/>
        </w:rPr>
        <w:t>（如分布式系统、性能、可靠性、可维护性等）。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计算出 </w:t>
      </w:r>
      <w:r>
        <w:rPr>
          <w:rFonts w:eastAsia="等线" w:ascii="Arial" w:cs="Arial" w:hAnsi="Arial"/>
          <w:b w:val="true"/>
          <w:sz w:val="22"/>
        </w:rPr>
        <w:t>DI（复杂度影响值）</w:t>
      </w:r>
      <w:r>
        <w:rPr>
          <w:rFonts w:eastAsia="等线" w:ascii="Arial" w:cs="Arial" w:hAnsi="Arial"/>
          <w:sz w:val="22"/>
        </w:rPr>
        <w:t>，公式：</w:t>
      </w:r>
      <w:r>
        <w:rPr>
          <w:rFonts w:eastAsia="Consolas" w:ascii="Consolas" w:cs="Consolas" w:hAnsi="Consolas"/>
          <w:sz w:val="22"/>
          <w:shd w:fill="EFF0F1"/>
        </w:rPr>
        <w:t>TCF = 0.65 + 0.01 × DI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结果范围：TCF 通常在 0.65 到 1.35 之间。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3. 工作量换算：获取行业基准 [生产率]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目前缺失</w:t>
      </w:r>
      <w:r>
        <w:rPr>
          <w:rFonts w:eastAsia="等线" w:ascii="Arial" w:cs="Arial" w:hAnsi="Arial"/>
          <w:sz w:val="22"/>
        </w:rPr>
        <w:t>：直接知道“功能点”无法直接算出“多少钱”，必须通过生产率将“规模”转为“工作量（人时/人月）”。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为什么需要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公式：</w:t>
      </w:r>
      <w:r>
        <w:rPr>
          <w:rFonts w:eastAsia="Consolas" w:ascii="Consolas" w:cs="Consolas" w:hAnsi="Consolas"/>
          <w:sz w:val="22"/>
          <w:shd w:fill="EFF0F1"/>
        </w:rPr>
        <w:t>总工作量（人月） = (总AFP × 行业生产率) ÷ (174 人时/人月)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生产率取值</w:t>
      </w:r>
      <w:r>
        <w:rPr>
          <w:rFonts w:eastAsia="等线" w:ascii="Arial" w:cs="Arial" w:hAnsi="Arial"/>
          <w:sz w:val="22"/>
        </w:rPr>
        <w:t>（参考国标/行业基准）：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全行业平均：约 </w:t>
      </w:r>
      <w:r>
        <w:rPr>
          <w:rFonts w:eastAsia="等线" w:ascii="Arial" w:cs="Arial" w:hAnsi="Arial"/>
          <w:b w:val="true"/>
          <w:sz w:val="22"/>
        </w:rPr>
        <w:t>6.72 人时/功能点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特定领域：金融约 10.46、电信约 9.98、普通信息系统约 7~8。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</w:t>
      </w:r>
      <w:r>
        <w:rPr>
          <w:rFonts w:eastAsia="等线" w:ascii="Arial" w:cs="Arial" w:hAnsi="Arial"/>
          <w:sz w:val="22"/>
        </w:rPr>
        <w:t xml:space="preserve">：若你的系统涉及 </w:t>
      </w:r>
      <w:r>
        <w:rPr>
          <w:rFonts w:eastAsia="等线" w:ascii="Arial" w:cs="Arial" w:hAnsi="Arial"/>
          <w:b w:val="true"/>
          <w:sz w:val="22"/>
        </w:rPr>
        <w:t>AI/大模型/LangChain</w:t>
      </w:r>
      <w:r>
        <w:rPr>
          <w:rFonts w:eastAsia="等线" w:ascii="Arial" w:cs="Arial" w:hAnsi="Arial"/>
          <w:sz w:val="22"/>
        </w:rPr>
        <w:t xml:space="preserve"> 等复杂技术，生产率需</w:t>
      </w:r>
      <w:r>
        <w:rPr>
          <w:rFonts w:eastAsia="等线" w:ascii="Arial" w:cs="Arial" w:hAnsi="Arial"/>
          <w:b w:val="true"/>
          <w:sz w:val="22"/>
        </w:rPr>
        <w:t>上浮 20%-50%</w:t>
      </w:r>
      <w:r>
        <w:rPr>
          <w:rFonts w:eastAsia="等线" w:ascii="Arial" w:cs="Arial" w:hAnsi="Arial"/>
          <w:sz w:val="22"/>
        </w:rPr>
        <w:t>（即开发同样功能需要更多时间）。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4. 成本加成：获取 [间接成本/管理费率]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目前缺失</w:t>
      </w:r>
      <w:r>
        <w:rPr>
          <w:rFonts w:eastAsia="等线" w:ascii="Arial" w:cs="Arial" w:hAnsi="Arial"/>
          <w:sz w:val="22"/>
        </w:rPr>
        <w:t>：单市月人力成本通常代表“一线开发工资”，但软件造价包含全成本。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为什么需要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行业标准中，</w:t>
      </w:r>
      <w:r>
        <w:rPr>
          <w:rFonts w:eastAsia="等线" w:ascii="Arial" w:cs="Arial" w:hAnsi="Arial"/>
          <w:b w:val="true"/>
          <w:sz w:val="22"/>
        </w:rPr>
        <w:t>软件开发直接费用 = 总工作量 × 人月费率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这里的“人月费率”不仅仅是工资，还包含了 </w:t>
      </w:r>
      <w:r>
        <w:rPr>
          <w:rFonts w:eastAsia="等线" w:ascii="Arial" w:cs="Arial" w:hAnsi="Arial"/>
          <w:b w:val="true"/>
          <w:sz w:val="22"/>
        </w:rPr>
        <w:t>社保公积金、管理分摊、场地租金、税费</w:t>
      </w:r>
      <w:r>
        <w:rPr>
          <w:rFonts w:eastAsia="等线" w:ascii="Arial" w:cs="Arial" w:hAnsi="Arial"/>
          <w:sz w:val="22"/>
        </w:rPr>
        <w:t xml:space="preserve"> 等。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补充方式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若没有具体费率，通常按 </w:t>
      </w:r>
      <w:r>
        <w:rPr>
          <w:rFonts w:eastAsia="等线" w:ascii="Arial" w:cs="Arial" w:hAnsi="Arial"/>
          <w:b w:val="true"/>
          <w:sz w:val="22"/>
        </w:rPr>
        <w:t>1.2 ~ 1.5 倍</w:t>
      </w:r>
      <w:r>
        <w:rPr>
          <w:rFonts w:eastAsia="等线" w:ascii="Arial" w:cs="Arial" w:hAnsi="Arial"/>
          <w:sz w:val="22"/>
        </w:rPr>
        <w:t xml:space="preserve"> 的“纯人力月薪”进行估算（即管理/间接成本加成）。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例如：市月人力成本 20,000 元，实际计费人月费率可能定为 24,000 ~ 30,000 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📝 总结你的完整计算路径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你现在可以按照以下步骤补全信息并计算：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算总分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\text{Total UFP} = \text{表格中所有 ufp 求和}</w:t>
        </m:r>
      </m:oMath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算最终规模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\text{AFP} = \text{Total UFP} \times \text{TCF}</w:t>
        </m:r>
      </m:oMath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算工作量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\text{人月} = (\text{AFP} \times \text{生产率}) \div 174</w:t>
        </m:r>
      </m:oMath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算总造价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\text{总造价} = \text{人月} \times \text{市月人力成本} \times \text{成本系数(1.2~1.5)} + \text{第三方硬件/软件费用}</w:t>
        </m:r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需要我帮你整理一个 Excel 计算公式模板吗？你直接填入数据和系数即可自动算出。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522973">
    <w:lvl>
      <w:numFmt w:val="bullet"/>
      <w:suff w:val="tab"/>
      <w:lvlText w:val="•"/>
      <w:rPr>
        <w:color w:val="3370ff"/>
      </w:rPr>
    </w:lvl>
  </w:abstractNum>
  <w:abstractNum w:abstractNumId="7522974">
    <w:lvl>
      <w:numFmt w:val="bullet"/>
      <w:suff w:val="tab"/>
      <w:lvlText w:val="￮"/>
      <w:rPr>
        <w:color w:val="3370ff"/>
      </w:rPr>
    </w:lvl>
  </w:abstractNum>
  <w:abstractNum w:abstractNumId="7522975">
    <w:lvl>
      <w:numFmt w:val="bullet"/>
      <w:suff w:val="tab"/>
      <w:lvlText w:val="￮"/>
      <w:rPr>
        <w:color w:val="3370ff"/>
      </w:rPr>
    </w:lvl>
  </w:abstractNum>
  <w:abstractNum w:abstractNumId="7522976">
    <w:lvl>
      <w:numFmt w:val="bullet"/>
      <w:suff w:val="tab"/>
      <w:lvlText w:val="•"/>
      <w:rPr>
        <w:color w:val="3370ff"/>
      </w:rPr>
    </w:lvl>
  </w:abstractNum>
  <w:abstractNum w:abstractNumId="7522977">
    <w:lvl>
      <w:numFmt w:val="bullet"/>
      <w:suff w:val="tab"/>
      <w:lvlText w:val="•"/>
      <w:rPr>
        <w:color w:val="3370ff"/>
      </w:rPr>
    </w:lvl>
  </w:abstractNum>
  <w:abstractNum w:abstractNumId="7522978">
    <w:lvl>
      <w:numFmt w:val="bullet"/>
      <w:suff w:val="tab"/>
      <w:lvlText w:val="￮"/>
      <w:rPr>
        <w:color w:val="3370ff"/>
      </w:rPr>
    </w:lvl>
  </w:abstractNum>
  <w:abstractNum w:abstractNumId="7522979">
    <w:lvl>
      <w:numFmt w:val="bullet"/>
      <w:suff w:val="tab"/>
      <w:lvlText w:val="￮"/>
      <w:rPr>
        <w:color w:val="3370ff"/>
      </w:rPr>
    </w:lvl>
  </w:abstractNum>
  <w:abstractNum w:abstractNumId="7522980">
    <w:lvl>
      <w:numFmt w:val="bullet"/>
      <w:suff w:val="tab"/>
      <w:lvlText w:val="￮"/>
      <w:rPr>
        <w:color w:val="3370ff"/>
      </w:rPr>
    </w:lvl>
  </w:abstractNum>
  <w:abstractNum w:abstractNumId="7522981">
    <w:lvl>
      <w:numFmt w:val="bullet"/>
      <w:suff w:val="tab"/>
      <w:lvlText w:val="•"/>
      <w:rPr>
        <w:color w:val="3370ff"/>
      </w:rPr>
    </w:lvl>
  </w:abstractNum>
  <w:abstractNum w:abstractNumId="7522982">
    <w:lvl>
      <w:numFmt w:val="bullet"/>
      <w:suff w:val="tab"/>
      <w:lvlText w:val="￮"/>
      <w:rPr>
        <w:color w:val="3370ff"/>
      </w:rPr>
    </w:lvl>
  </w:abstractNum>
  <w:abstractNum w:abstractNumId="7522983">
    <w:lvl>
      <w:numFmt w:val="bullet"/>
      <w:suff w:val="tab"/>
      <w:lvlText w:val="￮"/>
      <w:rPr>
        <w:color w:val="3370ff"/>
      </w:rPr>
    </w:lvl>
  </w:abstractNum>
  <w:abstractNum w:abstractNumId="7522984">
    <w:lvl>
      <w:numFmt w:val="bullet"/>
      <w:suff w:val="tab"/>
      <w:lvlText w:val="▪"/>
      <w:rPr>
        <w:color w:val="3370ff"/>
        <w:sz w:val="11"/>
      </w:rPr>
    </w:lvl>
  </w:abstractNum>
  <w:abstractNum w:abstractNumId="7522985">
    <w:lvl>
      <w:numFmt w:val="bullet"/>
      <w:suff w:val="tab"/>
      <w:lvlText w:val="▪"/>
      <w:rPr>
        <w:color w:val="3370ff"/>
        <w:sz w:val="11"/>
      </w:rPr>
    </w:lvl>
  </w:abstractNum>
  <w:abstractNum w:abstractNumId="7522986">
    <w:lvl>
      <w:numFmt w:val="bullet"/>
      <w:suff w:val="tab"/>
      <w:lvlText w:val="•"/>
      <w:rPr>
        <w:color w:val="3370ff"/>
      </w:rPr>
    </w:lvl>
  </w:abstractNum>
  <w:abstractNum w:abstractNumId="7522987">
    <w:lvl>
      <w:numFmt w:val="bullet"/>
      <w:suff w:val="tab"/>
      <w:lvlText w:val="•"/>
      <w:rPr>
        <w:color w:val="3370ff"/>
      </w:rPr>
    </w:lvl>
  </w:abstractNum>
  <w:abstractNum w:abstractNumId="7522988">
    <w:lvl>
      <w:numFmt w:val="bullet"/>
      <w:suff w:val="tab"/>
      <w:lvlText w:val="￮"/>
      <w:rPr>
        <w:color w:val="3370ff"/>
      </w:rPr>
    </w:lvl>
  </w:abstractNum>
  <w:abstractNum w:abstractNumId="7522989">
    <w:lvl>
      <w:numFmt w:val="bullet"/>
      <w:suff w:val="tab"/>
      <w:lvlText w:val="￮"/>
      <w:rPr>
        <w:color w:val="3370ff"/>
      </w:rPr>
    </w:lvl>
  </w:abstractNum>
  <w:abstractNum w:abstractNumId="7522990">
    <w:lvl>
      <w:numFmt w:val="bullet"/>
      <w:suff w:val="tab"/>
      <w:lvlText w:val="•"/>
      <w:rPr>
        <w:color w:val="3370ff"/>
      </w:rPr>
    </w:lvl>
  </w:abstractNum>
  <w:abstractNum w:abstractNumId="7522991">
    <w:lvl>
      <w:numFmt w:val="bullet"/>
      <w:suff w:val="tab"/>
      <w:lvlText w:val="￮"/>
      <w:rPr>
        <w:color w:val="3370ff"/>
      </w:rPr>
    </w:lvl>
  </w:abstractNum>
  <w:abstractNum w:abstractNumId="7522992">
    <w:lvl>
      <w:numFmt w:val="bullet"/>
      <w:suff w:val="tab"/>
      <w:lvlText w:val="￮"/>
      <w:rPr>
        <w:color w:val="3370ff"/>
      </w:rPr>
    </w:lvl>
  </w:abstractNum>
  <w:abstractNum w:abstractNumId="7522993">
    <w:lvl>
      <w:start w:val="1"/>
      <w:numFmt w:val="decimal"/>
      <w:suff w:val="tab"/>
      <w:lvlText w:val="%1."/>
      <w:rPr>
        <w:color w:val="3370ff"/>
      </w:rPr>
    </w:lvl>
  </w:abstractNum>
  <w:abstractNum w:abstractNumId="7522994">
    <w:lvl>
      <w:start w:val="2"/>
      <w:numFmt w:val="decimal"/>
      <w:suff w:val="tab"/>
      <w:lvlText w:val="%1."/>
      <w:rPr>
        <w:color w:val="3370ff"/>
      </w:rPr>
    </w:lvl>
  </w:abstractNum>
  <w:abstractNum w:abstractNumId="7522995">
    <w:lvl>
      <w:start w:val="3"/>
      <w:numFmt w:val="decimal"/>
      <w:suff w:val="tab"/>
      <w:lvlText w:val="%1."/>
      <w:rPr>
        <w:color w:val="3370ff"/>
      </w:rPr>
    </w:lvl>
  </w:abstractNum>
  <w:abstractNum w:abstractNumId="7522996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7522973"/>
  </w:num>
  <w:num w:numId="2">
    <w:abstractNumId w:val="7522974"/>
  </w:num>
  <w:num w:numId="3">
    <w:abstractNumId w:val="7522975"/>
  </w:num>
  <w:num w:numId="4">
    <w:abstractNumId w:val="7522976"/>
  </w:num>
  <w:num w:numId="5">
    <w:abstractNumId w:val="7522977"/>
  </w:num>
  <w:num w:numId="6">
    <w:abstractNumId w:val="7522978"/>
  </w:num>
  <w:num w:numId="7">
    <w:abstractNumId w:val="7522979"/>
  </w:num>
  <w:num w:numId="8">
    <w:abstractNumId w:val="7522980"/>
  </w:num>
  <w:num w:numId="9">
    <w:abstractNumId w:val="7522981"/>
  </w:num>
  <w:num w:numId="10">
    <w:abstractNumId w:val="7522982"/>
  </w:num>
  <w:num w:numId="11">
    <w:abstractNumId w:val="7522983"/>
  </w:num>
  <w:num w:numId="12">
    <w:abstractNumId w:val="7522984"/>
  </w:num>
  <w:num w:numId="13">
    <w:abstractNumId w:val="7522985"/>
  </w:num>
  <w:num w:numId="14">
    <w:abstractNumId w:val="7522986"/>
  </w:num>
  <w:num w:numId="15">
    <w:abstractNumId w:val="7522987"/>
  </w:num>
  <w:num w:numId="16">
    <w:abstractNumId w:val="7522988"/>
  </w:num>
  <w:num w:numId="17">
    <w:abstractNumId w:val="7522989"/>
  </w:num>
  <w:num w:numId="18">
    <w:abstractNumId w:val="7522990"/>
  </w:num>
  <w:num w:numId="19">
    <w:abstractNumId w:val="7522991"/>
  </w:num>
  <w:num w:numId="20">
    <w:abstractNumId w:val="7522992"/>
  </w:num>
  <w:num w:numId="21">
    <w:abstractNumId w:val="7522993"/>
  </w:num>
  <w:num w:numId="22">
    <w:abstractNumId w:val="7522994"/>
  </w:num>
  <w:num w:numId="23">
    <w:abstractNumId w:val="7522995"/>
  </w:num>
  <w:num w:numId="24">
    <w:abstractNumId w:val="752299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2026-03-17T14:21:44Z</dcterms:created>
  <dc:creator>Apache POI</dc:creator>
</cp:coreProperties>
</file>