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63FA9">
      <w:pPr>
        <w:pStyle w:val="2"/>
        <w:rPr>
          <w:rFonts w:hint="eastAsia"/>
        </w:rPr>
      </w:pPr>
      <w:r>
        <w:rPr>
          <w:rFonts w:hint="eastAsia"/>
        </w:rPr>
        <w:t>[1]王民强.浅谈软件造价评估方法、模型与工程实践应用[J].建设监理,2025,(08):91-95.</w:t>
      </w:r>
    </w:p>
    <w:p w14:paraId="256A8FEB">
      <w:pPr>
        <w:pStyle w:val="2"/>
        <w:rPr>
          <w:rFonts w:hint="eastAsia"/>
        </w:rPr>
      </w:pPr>
      <w:r>
        <w:rPr>
          <w:rFonts w:hint="eastAsia"/>
        </w:rPr>
        <w:t>摘要:软件造价评估相较于传统工程造价在模式、方法等方面存在较大的差异。通过工程实践剖析软件造价评估的可行性，探讨造价评估的必要性、常用评估方法与模型，并且结合工程现场实际情况阐述其在软件项目场景中的应用。采取功能点分析法、代码行估算法、类比法等方法，浅谈软件造价方法的优劣，为准确评估软件造价提供较为全面的理论与实践指导，助力于软件监理项目在成本控制、资源合理配置等方面取得更好的成效。</w:t>
      </w:r>
    </w:p>
    <w:p w14:paraId="3F2BC3F2">
      <w:pPr>
        <w:pStyle w:val="2"/>
        <w:rPr>
          <w:rFonts w:hint="eastAsia"/>
        </w:rPr>
      </w:pPr>
      <w:r>
        <w:rPr>
          <w:rFonts w:hint="eastAsia"/>
        </w:rPr>
        <w:t>[2]冯汝婷,杨建诗.软件造价评估法在预算管理中的应用案例探析[J].商业会计,2023,(24):89-93.</w:t>
      </w:r>
    </w:p>
    <w:p w14:paraId="79D0DB58">
      <w:pPr>
        <w:pStyle w:val="2"/>
        <w:rPr>
          <w:rFonts w:hint="eastAsia"/>
        </w:rPr>
      </w:pPr>
      <w:r>
        <w:rPr>
          <w:rFonts w:hint="eastAsia"/>
        </w:rPr>
        <w:t>摘要:当前软件行业的竞争日益激烈，从工具到组织，从技术到管理，软件行业都在发生着飞速的变化，软件公司正面临着严峻的挑战，如何在激烈的竞争中持续有效地降低研发和运维成本，是研发效能提升的重要课题，也是财务赋能业务的价值体现。文章以A软件研发公司内部软件研发项目为例，通过软件造价评估法预估“项目合同金额”，运用历史成本基线数据，并结合当前研发项目功能需求评估项目“预算成本”，在不同的项目进度阶段，结合项目完工进度，按需对项目进行动态效益评估和成本管控。用财务数据驱动项目效益管理，扎实做深业财融合，赋能业务，促进项目效益进一步优化。</w:t>
      </w:r>
    </w:p>
    <w:p w14:paraId="1D871949">
      <w:pPr>
        <w:pStyle w:val="2"/>
        <w:rPr>
          <w:rFonts w:hint="eastAsia"/>
        </w:rPr>
      </w:pPr>
      <w:r>
        <w:rPr>
          <w:rFonts w:hint="eastAsia"/>
        </w:rPr>
        <w:t>[3]黄李昊,王龙,殷艳艳,刘振博.基于改进功能点法的软件造价评估方法研究与实践[J].航天工业管理,2023,(07):51-57.</w:t>
      </w:r>
    </w:p>
    <w:p w14:paraId="1EEE8E59">
      <w:pPr>
        <w:pStyle w:val="2"/>
        <w:rPr>
          <w:rFonts w:hint="eastAsia"/>
        </w:rPr>
      </w:pPr>
      <w:r>
        <w:rPr>
          <w:rFonts w:hint="eastAsia"/>
        </w:rPr>
        <w:t>摘要:&lt;正&gt;当前，国家加快构建新发展格局，大力推进现代化产业体系建设，特别是网络强国和数字中国建设。各大国有企业面对新形势、新机遇、新挑战，积极开展信息化建设，为企业发展提供充足且有效的信息技术服务和支撑。软件项目在信息化建设中占有相当大比重，但当前企业普遍存在无法准确评估软件造价的问题，软件项目的工期、成本难以预测，工作量的合理性难以衡量。因此，如何进行软件项目的量化造价评估成为一个亟待解决的问题。</w:t>
      </w:r>
    </w:p>
    <w:p w14:paraId="2144D744">
      <w:pPr>
        <w:pStyle w:val="2"/>
        <w:rPr>
          <w:rFonts w:hint="eastAsia"/>
        </w:rPr>
      </w:pPr>
      <w:r>
        <w:rPr>
          <w:rFonts w:hint="eastAsia"/>
        </w:rPr>
        <w:t>[4]马刚,郭兵,张志亮,龚加剑.基于功能点法的定制软件开发造价评估方法[J].电子技术与软件工程,2021,(22):62-64.</w:t>
      </w:r>
    </w:p>
    <w:p w14:paraId="2045E8D0">
      <w:pPr>
        <w:pStyle w:val="2"/>
        <w:rPr>
          <w:rFonts w:hint="eastAsia"/>
        </w:rPr>
      </w:pPr>
      <w:r>
        <w:rPr>
          <w:rFonts w:hint="eastAsia"/>
        </w:rPr>
        <w:t>摘要:本文提出一种基于功能点快速度量方法,结合工程实际,形成一套信息通信软件造价评估方法,期望能够科学、快速、准确的对信息通信软件功能模块进行测算,解决信息通信软件造价难估算的问题,提高信息通信软件造价估算速度、实用性和可信度。</w:t>
      </w:r>
    </w:p>
    <w:p w14:paraId="1DF2090C">
      <w:pPr>
        <w:pStyle w:val="2"/>
        <w:rPr>
          <w:rFonts w:hint="eastAsia"/>
        </w:rPr>
      </w:pPr>
      <w:r>
        <w:rPr>
          <w:rFonts w:hint="eastAsia"/>
        </w:rPr>
        <w:t>[5]孔祥贤,申晨.浅谈预估功能点法在公安机关软件造价评估中的应用[J].广东公安科技,2021,29(03):1-4.</w:t>
      </w:r>
    </w:p>
    <w:p w14:paraId="62568640">
      <w:pPr>
        <w:pStyle w:val="2"/>
        <w:rPr>
          <w:rFonts w:hint="eastAsia"/>
        </w:rPr>
      </w:pPr>
      <w:r>
        <w:rPr>
          <w:rFonts w:hint="eastAsia"/>
        </w:rPr>
        <w:t>摘要:软件造价估算是信息化项目管理中非常重要的环节。现行的人月工作法在估算软件规模方面过于依赖估算人员经验,不同人的估算差异较大,不利于项目管理、财政投资、审计防风险等工作开展。本文立足公安机关信息化项目管理现状,借鉴省层面政府部门做法,探讨以"预估功能点法"模式建立需求、设计、概算的一一对应关系,优化信息化项目管理水平。</w:t>
      </w:r>
    </w:p>
    <w:p w14:paraId="748B6773">
      <w:pPr>
        <w:pStyle w:val="2"/>
        <w:rPr>
          <w:rFonts w:hint="eastAsia"/>
        </w:rPr>
      </w:pPr>
      <w:r>
        <w:rPr>
          <w:rFonts w:hint="eastAsia"/>
        </w:rPr>
        <w:t>[6]任女尔,郭芳郁,赵锋云,田杨,池秀峰.功能点法在软件造价评估中的应用[J].电脑与电信,2020,(08):59-63.</w:t>
      </w:r>
    </w:p>
    <w:p w14:paraId="593736D2">
      <w:pPr>
        <w:pStyle w:val="2"/>
        <w:rPr>
          <w:rFonts w:hint="eastAsia"/>
        </w:rPr>
      </w:pPr>
      <w:r>
        <w:rPr>
          <w:rFonts w:hint="eastAsia"/>
        </w:rPr>
        <w:t>摘要:随着IT技术的不断精进,信息化、数字化已成为多数中大型企业管理提升及业务赋能的重要推动引擎,各类型企业对信息化系统软件的需求量也日益增加。但在软件造价评估方面,甲乙双方对于项目规模、工作量、研发费用通常难以达成一致,因此急需统一的评估标准及依据。对功能点法进行了介绍,并对NESMA功能点法在软件造价中的应用进行详细说明,为项目甲乙双方统一认识提供了规范,同时为企业规范造价评估体系提供了依据。</w:t>
      </w:r>
    </w:p>
    <w:p w14:paraId="57065298">
      <w:pPr>
        <w:pStyle w:val="2"/>
        <w:rPr>
          <w:rFonts w:hint="eastAsia"/>
        </w:rPr>
      </w:pPr>
      <w:r>
        <w:rPr>
          <w:rFonts w:hint="eastAsia"/>
        </w:rPr>
        <w:t>[7]吴叶青.功能点在软件造价评估中的应用[J].舰船电子工程,2018,38(08):21-26.</w:t>
      </w:r>
    </w:p>
    <w:p w14:paraId="75F143E6">
      <w:pPr>
        <w:pStyle w:val="2"/>
        <w:rPr>
          <w:rFonts w:hint="eastAsia"/>
        </w:rPr>
      </w:pPr>
      <w:r>
        <w:rPr>
          <w:rFonts w:hint="eastAsia"/>
        </w:rPr>
        <w:t>摘要:软件功能点分析方法作为一种定量估算和分析技术,适应于软件造价评估活动多种应用场景,为软件成本预算、招投标、软件项目策划、软件成本结算、软件过程数据采集等提供定量指导。在软件造价评估活动中开展软件功能点分析方法的应用与研究,有助于从项目成本管理、软件过程改进等诸方面提升组织能力。</w:t>
      </w:r>
    </w:p>
    <w:p w14:paraId="1D5E8872">
      <w:pPr>
        <w:pStyle w:val="2"/>
        <w:rPr>
          <w:rFonts w:hint="eastAsia"/>
        </w:rPr>
      </w:pPr>
      <w:r>
        <w:rPr>
          <w:rFonts w:hint="eastAsia"/>
        </w:rPr>
        <w:t>[8]杨武俊. 基于BERT的文本摘要自动生成研究[J]. 电子质量, 2025, (12): 41-46.</w:t>
      </w:r>
    </w:p>
    <w:p w14:paraId="6CC44D84">
      <w:pPr>
        <w:pStyle w:val="2"/>
        <w:rPr>
          <w:rFonts w:hint="eastAsia"/>
        </w:rPr>
      </w:pPr>
      <w:r>
        <w:rPr>
          <w:rFonts w:hint="eastAsia"/>
        </w:rPr>
        <w:t>摘要:随着神经网络技术的发展，端到端序列（Seq2Seq）模型为文本摘要自动生成提供了新方法。该方法并非简单抽取原文内容组成摘要，而是通过对文本词向量进行表征，输入模型并提取文本特征生成摘要。然而，现有模型普遍存在生成摘要重复及无法处理未登录词等问题。为应对上述问题，首先利用BERT模型提取文本的特征表示，将所得特征输入Seq2Seq模型中，并引入注意力机制以生成文本摘要。其次，通过在损失函数中加入覆盖损失，有效减少了生成摘要中的重复现象。最后，在模型中融入指针网络，从原始文本中直接复制词语，以解决未登录词问题。在中文数据集LCSTS上的实验结果表明，所提出的模型能够显著提高生成摘要的准确率，可有效应用于文本摘要自动生成任务。</w:t>
      </w:r>
    </w:p>
    <w:p w14:paraId="3E4DEA04">
      <w:pPr>
        <w:pStyle w:val="2"/>
        <w:rPr>
          <w:rFonts w:hint="eastAsia"/>
        </w:rPr>
      </w:pPr>
      <w:r>
        <w:rPr>
          <w:rFonts w:hint="eastAsia"/>
        </w:rPr>
        <w:t>[</w:t>
      </w:r>
      <w:r>
        <w:rPr>
          <w:rFonts w:hint="eastAsia"/>
          <w:lang w:val="en-US" w:eastAsia="zh-CN"/>
        </w:rPr>
        <w:t>9</w:t>
      </w:r>
      <w:r>
        <w:rPr>
          <w:rFonts w:hint="eastAsia"/>
        </w:rPr>
        <w:t>]Yuen P, Keung J, Yang Z. Effectiveness of symmetric metamorphic relations</w:t>
      </w:r>
    </w:p>
    <w:p w14:paraId="5FEFFD36">
      <w:pPr>
        <w:pStyle w:val="2"/>
        <w:rPr>
          <w:rFonts w:hint="eastAsia"/>
        </w:rPr>
      </w:pPr>
      <w:r>
        <w:rPr>
          <w:rFonts w:hint="eastAsia"/>
        </w:rPr>
        <w:t>on validating the stability of code generation LLM[J]. Journal of Systems and</w:t>
      </w:r>
    </w:p>
    <w:p w14:paraId="735FDCED">
      <w:pPr>
        <w:pStyle w:val="2"/>
        <w:rPr>
          <w:rFonts w:hint="eastAsia"/>
        </w:rPr>
      </w:pPr>
      <w:r>
        <w:rPr>
          <w:rFonts w:hint="eastAsia"/>
        </w:rPr>
        <w:t>Software, 2025, 222: 112330.</w:t>
      </w:r>
    </w:p>
    <w:p w14:paraId="248BB5AF">
      <w:pPr>
        <w:pStyle w:val="2"/>
        <w:rPr>
          <w:rFonts w:hint="eastAsia"/>
          <w:lang w:val="en-US" w:eastAsia="zh-CN"/>
        </w:rPr>
      </w:pPr>
      <w:r>
        <w:rPr>
          <w:rFonts w:hint="eastAsia"/>
        </w:rPr>
        <w:t>Abstract</w:t>
      </w:r>
      <w:r>
        <w:rPr>
          <w:rFonts w:hint="eastAsia"/>
          <w:lang w:val="en-US" w:eastAsia="zh-CN"/>
        </w:rPr>
        <w:t>:Pre-trained large language models (LLMs) are increasingly used in software development for code generation, with a preference for private LLMs over public ones to avoid the risk of exposing corporate secrets. Validating the stability of these LLMs’ outputs is crucial, and our study proposes using symmetric Metamorphic Relations (MRs) from Metamorphic Testing (MT) for this purpose. Our study involved an empirical experiment with ten LLMs (eight private and two public) and two publicly available datasets. We defined seven symmetric MRs to generate “Follow-up” datasets from “Source” datasets for testing. Our evaluation aimed to detect violations (inconsistent predictions) between “Source” and “Follow-up” datasets and assess the effectiveness of MRs in identifying correct and incorrect non-violated predictions from ground truths. Results showed that one public and four private LLMs did not violate “Case transformation of prompts” MR. Furthermore, effectiveness and performance results indicated that proposed MRs are effective tools for explaining the instability of LLM's outputs by “Case transformation of prompts”, “Duplication of prompts”, and “Paraphrasing of prompts”. The study underscored the importance of enhancing LLMs’ semantic understanding of prompts for better stability and highlighted potential future research directions, including exploring different MRs, enhancing semantic understanding, and applying symmetry to prompt engineering.</w:t>
      </w:r>
    </w:p>
    <w:p w14:paraId="7980C005">
      <w:pPr>
        <w:pStyle w:val="2"/>
        <w:rPr>
          <w:rFonts w:hint="eastAsia"/>
          <w:lang w:val="en-US" w:eastAsia="zh-CN"/>
        </w:rPr>
      </w:pPr>
      <w:r>
        <w:rPr>
          <w:rFonts w:hint="eastAsia"/>
          <w:lang w:val="en-US" w:eastAsia="zh-CN"/>
        </w:rPr>
        <w:t>[10]Troh P, Xue H, Ma J, et al. Cost-effective and minimal-intervention BIM</w:t>
      </w:r>
    </w:p>
    <w:p w14:paraId="418C826B">
      <w:pPr>
        <w:pStyle w:val="2"/>
        <w:rPr>
          <w:rFonts w:hint="eastAsia"/>
          <w:lang w:val="en-US" w:eastAsia="zh-CN"/>
        </w:rPr>
      </w:pPr>
      <w:r>
        <w:rPr>
          <w:rFonts w:hint="eastAsia"/>
          <w:lang w:val="en-US" w:eastAsia="zh-CN"/>
        </w:rPr>
        <w:t>information retrieval via condensed multi-LLM agent code generation[J]. Automation in Construction, 2026, 181: 106585.</w:t>
      </w:r>
    </w:p>
    <w:p w14:paraId="73E678E4">
      <w:pPr>
        <w:pStyle w:val="2"/>
        <w:rPr>
          <w:rFonts w:hint="eastAsia"/>
          <w:lang w:val="en-US" w:eastAsia="zh-CN"/>
        </w:rPr>
      </w:pPr>
      <w:r>
        <w:rPr>
          <w:rFonts w:hint="eastAsia"/>
        </w:rPr>
        <w:t>Abstract</w:t>
      </w:r>
      <w:r>
        <w:rPr>
          <w:rFonts w:hint="eastAsia"/>
          <w:lang w:val="en-US" w:eastAsia="zh-CN"/>
        </w:rPr>
        <w:t>:The Architecture, Engineering, and Construction (AEC) industry increasingly relies on Building Information Modelling (BIM) to manage complex data. However, manual information retrieval remains inefficient and widespread. Existing automatic approaches focus on Industry Foundation Classes (IFC) format with template-based support, while the potential of large language models (LLMs) to generate retrieval code across diverse domain-specific languages and libraries remains underexplored. This paper introduces Alignment-Refinement Coder for BIM (ARCBIM), an LLM-based system with a ‘prefix’ function alignment module, a ‘suffix’ code refinement module, and an ‘inflexion’ condensed agent-design to improve cost-effectiveness. Evaluation on 80 diverse queries with the Revit C# API showed that ARCBIM reduced the average error count to 1.26 per query, compared with 5.75 for the baseline Standalone Agent. Moreover, 80 % of generated code became usable within three local refinements. This system enhanced flexible BIM data retrieval with limited intervention across multiple complexities, providing a more user-centric automatic</w:t>
      </w:r>
      <w:bookmarkStart w:id="0" w:name="_GoBack"/>
      <w:bookmarkEnd w:id="0"/>
      <w:r>
        <w:rPr>
          <w:rFonts w:hint="eastAsia"/>
          <w:lang w:val="en-US" w:eastAsia="zh-CN"/>
        </w:rPr>
        <w:t xml:space="preserve"> retrieval solution.</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1C34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1864</Words>
  <Characters>2059</Characters>
  <TotalTime>0</TotalTime>
  <ScaleCrop>false</ScaleCrop>
  <LinksUpToDate>false</LinksUpToDate>
  <CharactersWithSpaces>2064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2026-01-13T07:37:16Z</dcterms:created>
  <dc:creator>洪荣钦</dc:creator>
  <cp:lastModifiedBy>墨染♬</cp:lastModifiedBy>
  <dcterms:modified xsi:type="dcterms:W3CDTF">2026-01-13T07:40:44Z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eyJoZGlkIjoiYjI1YmRjM2RhNTY5ODlhZjZkODc0NGE2YjM4Yzc3YTciLCJ1c2VySWQiOiI3OTk4MzY2MTMifQ==</vt:lpwstr>
  </property>
  <property fmtid="{D5CDD505-2E9C-101B-9397-08002B2CF9AE}" pid="3" name="KSOProductBuildVer">
    <vt:lpwstr>2052-12.1.0.24034</vt:lpwstr>
  </property>
  <property fmtid="{D5CDD505-2E9C-101B-9397-08002B2CF9AE}" pid="4" name="ICV">
    <vt:lpwstr>1BCFD996C54F4237A09D9A9BB62421D6_13</vt:lpwstr>
  </property>
</Properties>
</file>