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몬스멕타 (Monsmecta) 사료 제조공정서</w:t>
      </w:r>
    </w:p>
    <w:p>
      <w:pPr>
        <w:ind w:left="284"/>
        <w:jc w:val="both"/>
        <w:spacing w:lineRule="auto"/>
      </w:pPr>
      <w:r>
        <w:rPr/>
        <w:t xml:space="preserve">[!IMPORTANT] 본 제조공정서는 </w:t>
      </w:r>
      <w:r>
        <w:rPr/>
        <w:t xml:space="preserve">몬스멕타(Monsmecta) 배합비(mo).xlsx</w:t>
      </w:r>
      <w:r>
        <w:rPr/>
        <w:t xml:space="preserve"> 기준의 표준 포뮬레이션 데이터 및 시험 제조 지시사항을 바탕으로 작성되었습니다.</w:t>
      </w:r>
    </w:p>
    <w:p>
      <w:pPr>
        <w:pStyle w:val="Heading2"/>
        <w:spacing w:lineRule="auto"/>
      </w:pPr>
      <w:r>
        <w:rPr/>
        <w:t xml:space="preserve">1. 제품 개요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제품명</w:t>
      </w:r>
      <w:r>
        <w:rPr/>
        <w:t xml:space="preserve">: 몬스멕타 (Monsmecta) / 항바산 / 피디겔 / 로타겔 / 파로코 (포장 형태에 따라 상이)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제형</w:t>
      </w:r>
      <w:r>
        <w:rPr/>
        <w:t xml:space="preserve">: 베이스 분말 (액상 현탁액 제조 호환)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제품 분류</w:t>
      </w:r>
      <w:r>
        <w:rPr/>
        <w:t xml:space="preserve">: 사료첨가제 / 동물용 영양보조제</w:t>
      </w:r>
    </w:p>
    <w:p>
      <w:pPr>
        <w:pStyle w:val="Heading2"/>
        <w:spacing w:lineRule="auto"/>
      </w:pPr>
      <w:r>
        <w:rPr/>
        <w:t xml:space="preserve">2. 배합비율 (원료 조성)</w:t>
      </w:r>
    </w:p>
    <w:p>
      <w:pPr>
        <w:spacing w:lineRule="auto"/>
      </w:pPr>
      <w:r>
        <w:rPr/>
        <w:t xml:space="preserve">본 배합비는 총중량 100%를 기준으로 한 몬스멕타의 표준 포뮬러입니다.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원료명 (성분)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배합 비율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100g 기준 (g)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3,000g 기준 (g)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LIQI (Montmorillonite) 1,000 mesh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82.97%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82.97g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2,489.1g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주성분 (초미세 입자)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Glucose (포도당)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15.00%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15.00g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450.0g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Vitamin A (1,000,000P IU/kg)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0.03%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0.03g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등록성분 (300,000IU/kg 보증)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Sodium Acetate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전해질/방부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Sodium Propionate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전해질/방부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총합 (Total)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100.00%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100.00g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3,000.0g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[!TIP] 배합 원가 시뮬레이션(엑셀 기준): 1kg 원료비는 약 2,717.35원이며, 포장 및 부자재/물류를 포함한 총 제조단가는 kg당 약 3,317.35원 수준으로 산출됩니다.</w:t>
      </w:r>
    </w:p>
    <w:p>
      <w:pPr>
        <w:pStyle w:val="Heading2"/>
        <w:spacing w:lineRule="auto"/>
      </w:pPr>
      <w:r>
        <w:rPr/>
        <w:t xml:space="preserve">3. 포장 공정 및 규격</w:t>
      </w:r>
    </w:p>
    <w:p>
      <w:pPr>
        <w:spacing w:lineRule="auto"/>
      </w:pPr>
      <w:r>
        <w:rPr/>
        <w:t xml:space="preserve">타겟 시장 및 유통 목적에 따라 다음 3가지 형태의 포장 공정이 적용됩니다.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대용량 포장 (10kg 지대)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적용 제품명</w:t>
      </w:r>
      <w:r>
        <w:rPr/>
        <w:t xml:space="preserve">: 몬스멕타, 항바산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비고</w:t>
      </w:r>
      <w:r>
        <w:rPr/>
        <w:t xml:space="preserve">: 표준 부자재비 적용 기준 (분말 유통용)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소용량 겔/액상 포장 (100ml / 200ml 디스펜서)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적용 제품명</w:t>
      </w:r>
      <w:r>
        <w:rPr/>
        <w:t xml:space="preserve">: 피디겔, 로타겔, 몬스멕타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비고</w:t>
      </w:r>
      <w:r>
        <w:rPr/>
        <w:t xml:space="preserve">: 액상 현탁 공정이 추가되며, 특수 디스펜서 용기 사용으로 부자재 및 제조비 별도 계산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기능성 특수 포장 (셀라이프)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적용 제품명</w:t>
      </w:r>
      <w:r>
        <w:rPr/>
        <w:t xml:space="preserve">: 몬스멕타, 파로코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비고</w:t>
      </w:r>
      <w:r>
        <w:rPr/>
        <w:t xml:space="preserve">: 부자재 및 제조비 별도 산정</w:t>
      </w:r>
    </w:p>
    <w:p>
      <w:pPr>
        <w:pStyle w:val="Heading2"/>
        <w:spacing w:lineRule="auto"/>
      </w:pPr>
      <w:r>
        <w:rPr/>
        <w:t xml:space="preserve">4. 품질 관리 (QC) - 액상 현탁액 시험 제조 공정</w:t>
      </w:r>
    </w:p>
    <w:p>
      <w:pPr>
        <w:spacing w:lineRule="auto"/>
      </w:pPr>
      <w:r>
        <w:rPr/>
        <w:t xml:space="preserve">액상 제형(디스펜서 포장 등)으로서의 장기 안정성 및 분산성을 평가하기 위해 다음 프로세스에 따라 현탁액 안정성 시험을 진행합니다.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1단계: 시료 조제 및 혼합</w:t>
      </w:r>
    </w:p>
    <w:p>
      <w:pPr>
        <w:numPr>
          <w:ilvl w:val="1"/>
          <w:numId w:val="7"/>
        </w:numPr>
        <w:spacing w:lineRule="auto"/>
      </w:pPr>
      <w:r>
        <w:rPr/>
        <w:t xml:space="preserve">완성된 몬스멕타 표준 혼합 분말 100g을 준비합니다.</w:t>
      </w:r>
    </w:p>
    <w:p>
      <w:pPr>
        <w:numPr>
          <w:ilvl w:val="1"/>
          <w:numId w:val="7"/>
        </w:numPr>
        <w:spacing w:lineRule="auto"/>
      </w:pPr>
      <w:r>
        <w:rPr/>
        <w:t xml:space="preserve">100ml의 정제수가 담긴 3개의 비커(용기)에 분말을 각각 </w:t>
      </w:r>
      <w:r>
        <w:rPr>
          <w:b/>
        </w:rPr>
        <w:t xml:space="preserve">10g, 15g, 20g</w:t>
      </w:r>
      <w:r>
        <w:rPr/>
        <w:t xml:space="preserve"> 비율로 투입합니다.</w:t>
      </w:r>
    </w:p>
    <w:p>
      <w:pPr>
        <w:numPr>
          <w:ilvl w:val="1"/>
          <w:numId w:val="7"/>
        </w:numPr>
        <w:spacing w:lineRule="auto"/>
      </w:pPr>
      <w:r>
        <w:rPr/>
        <w:t xml:space="preserve">분말이 뭉치지 않도록 충분히 교반하여 섞은 후, 초기 분산 및 겔화 상태를 육안 점검합니다.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2단계: 단기 안정성 평가 (24시간 후)</w:t>
      </w:r>
    </w:p>
    <w:p>
      <w:pPr>
        <w:numPr>
          <w:ilvl w:val="1"/>
          <w:numId w:val="8"/>
        </w:numPr>
        <w:spacing w:lineRule="auto"/>
      </w:pPr>
      <w:r>
        <w:rPr/>
        <w:t xml:space="preserve">3가지 시험구(10g, 15g, 20g)의 상하 층 분리, 침전도, 유동성(Viscosity) 유지 여부를 평가합니다.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3단계: 중기 안정성 평가 (7일 후)</w:t>
      </w:r>
    </w:p>
    <w:p>
      <w:pPr>
        <w:numPr>
          <w:ilvl w:val="1"/>
          <w:numId w:val="9"/>
        </w:numPr>
        <w:spacing w:lineRule="auto"/>
      </w:pPr>
      <w:r>
        <w:rPr/>
        <w:t xml:space="preserve">3가지 시험구의 물리화학적 상태 변화 및 현탁 안정성을 평가합니다. (부패나 가스 발생 여부 등 확인)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4단계: 장기 안정성 평가 (30일 후)</w:t>
      </w:r>
    </w:p>
    <w:p>
      <w:pPr>
        <w:numPr>
          <w:ilvl w:val="1"/>
          <w:numId w:val="10"/>
        </w:numPr>
        <w:spacing w:lineRule="auto"/>
      </w:pPr>
      <w:r>
        <w:rPr/>
        <w:t xml:space="preserve">장기 보관에 따른 최종 상태 변화(침전물의 완전한 고착화, 냄새, 제형 붕괴 여부 등)를 최종적으로 확인하고 합격 판정을 내립니다.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2026-07-30T05:37:34.463Z</dcterms:created>
  <dcterms:modified xsi:type="dcterms:W3CDTF">2026-07-30T05:37:34.463Z</dcterms:modified>
</cp:coreProperties>
</file>