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63" w:rsidRDefault="00D01CB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 w:rsidRPr="00D01CBE">
        <w:rPr>
          <w:rFonts w:ascii="Arial" w:eastAsia="SimSun" w:hAnsi="Arial" w:cs="Arial"/>
          <w:b/>
          <w:bCs/>
          <w:color w:val="000000"/>
          <w:sz w:val="28"/>
          <w:szCs w:val="28"/>
        </w:rPr>
        <w:t>Comparative Analysis of Simultaneous Transcranial Doppler and Cerebral Perfusion Computed Tomography for Cerebral Perfusion Evaluation in TBI Patients</w:t>
      </w:r>
    </w:p>
    <w:p w:rsidR="00536063" w:rsidRDefault="00536063">
      <w:pPr>
        <w:rPr>
          <w:rFonts w:ascii="Arial" w:hAnsi="Arial" w:cs="Arial"/>
        </w:rPr>
      </w:pPr>
    </w:p>
    <w:p w:rsidR="00536063" w:rsidRDefault="00D01CBE" w:rsidP="00D01CBE">
      <w:pPr>
        <w:ind w:left="720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</w:rPr>
        <w:t>A.</w:t>
      </w:r>
      <w:r w:rsidR="00D377B8">
        <w:rPr>
          <w:rFonts w:ascii="Arial" w:hAnsi="Arial" w:cs="Arial"/>
        </w:rPr>
        <w:t xml:space="preserve">O. </w:t>
      </w:r>
      <w:r>
        <w:rPr>
          <w:rFonts w:ascii="Arial" w:hAnsi="Arial" w:cs="Arial"/>
        </w:rPr>
        <w:t>Trofimov</w:t>
      </w:r>
      <w:r w:rsidRPr="00200FE8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A.</w:t>
      </w:r>
      <w:r w:rsidR="00D377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Kopylov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</w:rPr>
        <w:t xml:space="preserve">, </w:t>
      </w:r>
      <w:r w:rsidRPr="00374899">
        <w:rPr>
          <w:rFonts w:ascii="Arial" w:hAnsi="Arial" w:cs="Arial"/>
        </w:rPr>
        <w:t xml:space="preserve">M. </w:t>
      </w:r>
      <w:r w:rsidRPr="0037536A">
        <w:rPr>
          <w:rFonts w:ascii="Arial" w:hAnsi="Arial" w:cs="Arial"/>
        </w:rPr>
        <w:t>Dobrzeniecki</w:t>
      </w:r>
      <w:r w:rsidRPr="00200FE8"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 xml:space="preserve"> , M.</w:t>
      </w:r>
      <w:r w:rsidR="00D377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Yuryev</w:t>
      </w:r>
      <w:r w:rsidRPr="00200FE8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A.</w:t>
      </w:r>
      <w:r w:rsidR="00D377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Sheludyakov</w:t>
      </w:r>
      <w:r w:rsidRPr="00200FE8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D.</w:t>
      </w:r>
      <w:r w:rsidR="00D377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Martynov</w:t>
      </w:r>
      <w:r w:rsidRPr="00200FE8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M. Karelsky</w:t>
      </w:r>
      <w:r w:rsidRPr="00200FE8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 xml:space="preserve"> and </w:t>
      </w:r>
      <w:r w:rsidRPr="00374899">
        <w:rPr>
          <w:rFonts w:ascii="Arial" w:hAnsi="Arial" w:cs="Arial"/>
          <w:b/>
        </w:rPr>
        <w:t>D.</w:t>
      </w:r>
      <w:r w:rsidR="00D377B8">
        <w:rPr>
          <w:rFonts w:ascii="Arial" w:hAnsi="Arial" w:cs="Arial"/>
          <w:b/>
        </w:rPr>
        <w:t>E.</w:t>
      </w:r>
      <w:r w:rsidRPr="00374899">
        <w:rPr>
          <w:rFonts w:ascii="Arial" w:hAnsi="Arial" w:cs="Arial"/>
          <w:b/>
        </w:rPr>
        <w:t xml:space="preserve"> Bragin</w:t>
      </w:r>
      <w:r w:rsidRPr="00200FE8">
        <w:rPr>
          <w:rFonts w:ascii="Arial" w:hAnsi="Arial" w:cs="Arial"/>
          <w:b/>
          <w:vertAlign w:val="superscript"/>
        </w:rPr>
        <w:t>c</w:t>
      </w:r>
    </w:p>
    <w:p w:rsidR="00D01CBE" w:rsidRPr="009748F1" w:rsidRDefault="00D01CBE" w:rsidP="00D01CBE">
      <w:pPr>
        <w:ind w:left="720"/>
        <w:jc w:val="center"/>
        <w:rPr>
          <w:rFonts w:ascii="Arial" w:hAnsi="Arial" w:cs="Arial"/>
          <w:sz w:val="20"/>
          <w:szCs w:val="20"/>
        </w:rPr>
      </w:pPr>
    </w:p>
    <w:p w:rsidR="00D01CBE" w:rsidRDefault="00D01CBE" w:rsidP="00D01CB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Pr="00374899">
        <w:rPr>
          <w:rFonts w:ascii="Arial" w:hAnsi="Arial" w:cs="Arial"/>
          <w:i/>
        </w:rPr>
        <w:t>Department of Neurosurgery,</w:t>
      </w:r>
      <w:r>
        <w:rPr>
          <w:rFonts w:ascii="Arial" w:hAnsi="Arial" w:cs="Arial"/>
          <w:i/>
        </w:rPr>
        <w:t xml:space="preserve"> </w:t>
      </w:r>
      <w:r w:rsidRPr="00374899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rivolzhsky Research Medical University, Russia</w:t>
      </w:r>
    </w:p>
    <w:p w:rsidR="00D01CBE" w:rsidRDefault="00D01CBE" w:rsidP="00D01CB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Pr="0037536A">
        <w:rPr>
          <w:rFonts w:ascii="Arial" w:hAnsi="Arial" w:cs="Arial"/>
          <w:i/>
        </w:rPr>
        <w:t>Department of Neurosurgery, DONAUISAR Klinikum</w:t>
      </w:r>
      <w:r>
        <w:rPr>
          <w:rFonts w:ascii="Arial" w:hAnsi="Arial" w:cs="Arial"/>
          <w:i/>
        </w:rPr>
        <w:t>,</w:t>
      </w:r>
      <w:r w:rsidRPr="0037536A">
        <w:rPr>
          <w:rFonts w:ascii="Arial" w:hAnsi="Arial" w:cs="Arial"/>
          <w:i/>
        </w:rPr>
        <w:t xml:space="preserve"> Deggendorf, Germany</w:t>
      </w:r>
    </w:p>
    <w:p w:rsidR="00D01CBE" w:rsidRDefault="00D01CBE" w:rsidP="00D01CB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 w:rsidRPr="00374899">
        <w:rPr>
          <w:rFonts w:ascii="Arial" w:hAnsi="Arial" w:cs="Arial"/>
          <w:i/>
        </w:rPr>
        <w:t>Department of Neurosurgery,</w:t>
      </w:r>
      <w:r>
        <w:rPr>
          <w:rFonts w:ascii="Arial" w:hAnsi="Arial" w:cs="Arial"/>
          <w:i/>
        </w:rPr>
        <w:t xml:space="preserve"> </w:t>
      </w:r>
      <w:r w:rsidRPr="00374899">
        <w:rPr>
          <w:rFonts w:ascii="Arial" w:hAnsi="Arial" w:cs="Arial"/>
          <w:i/>
        </w:rPr>
        <w:t>University of New Mexico</w:t>
      </w:r>
      <w:r>
        <w:rPr>
          <w:rFonts w:ascii="Arial" w:hAnsi="Arial" w:cs="Arial"/>
          <w:i/>
        </w:rPr>
        <w:t xml:space="preserve"> School of Medicine, USA</w:t>
      </w:r>
    </w:p>
    <w:p w:rsidR="00D01CBE" w:rsidRDefault="00D01CBE" w:rsidP="00D01CBE">
      <w:pPr>
        <w:spacing w:after="0" w:line="240" w:lineRule="auto"/>
        <w:jc w:val="center"/>
        <w:rPr>
          <w:rFonts w:ascii="Arial" w:hAnsi="Arial" w:cs="Arial"/>
          <w:i/>
        </w:rPr>
      </w:pPr>
    </w:p>
    <w:p w:rsidR="00D01CBE" w:rsidRPr="00171364" w:rsidRDefault="00D01CBE" w:rsidP="00D01CBE">
      <w:pPr>
        <w:spacing w:after="0" w:line="240" w:lineRule="auto"/>
        <w:jc w:val="center"/>
        <w:rPr>
          <w:rFonts w:ascii="Arial" w:hAnsi="Arial" w:cs="Arial"/>
          <w:i/>
        </w:rPr>
      </w:pPr>
      <w:r w:rsidRPr="00171364">
        <w:rPr>
          <w:rFonts w:ascii="Arial" w:hAnsi="Arial" w:cs="Arial"/>
          <w:i/>
        </w:rPr>
        <w:t xml:space="preserve">D.E. Bragin: </w:t>
      </w:r>
      <w:hyperlink r:id="rId8" w:history="1">
        <w:r w:rsidRPr="00171364">
          <w:rPr>
            <w:rStyle w:val="Hyperlink"/>
            <w:rFonts w:ascii="Arial" w:hAnsi="Arial" w:cs="Arial"/>
            <w:i/>
          </w:rPr>
          <w:t>dbragin@salud.unm.edu</w:t>
        </w:r>
      </w:hyperlink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9C200F" w:rsidRDefault="00A86019" w:rsidP="00A24C1E">
      <w:pPr>
        <w:tabs>
          <w:tab w:val="left" w:pos="1418"/>
          <w:tab w:val="left" w:pos="4536"/>
        </w:tabs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D01CBE" w:rsidRPr="00797DC7">
        <w:rPr>
          <w:rFonts w:ascii="Arial" w:eastAsia="SimSun" w:hAnsi="Arial" w:cs="Arial"/>
          <w:color w:val="000000"/>
        </w:rPr>
        <w:t xml:space="preserve">The aim was to investigate the feasibility of simultaneous comparison of the circulation in major </w:t>
      </w:r>
      <w:r w:rsidR="00D01CBE">
        <w:rPr>
          <w:rFonts w:ascii="Arial" w:eastAsia="SimSun" w:hAnsi="Arial" w:cs="Arial"/>
          <w:color w:val="000000"/>
        </w:rPr>
        <w:t xml:space="preserve">and minor </w:t>
      </w:r>
      <w:r w:rsidR="00D01CBE" w:rsidRPr="00797DC7">
        <w:rPr>
          <w:rFonts w:ascii="Arial" w:eastAsia="SimSun" w:hAnsi="Arial" w:cs="Arial"/>
          <w:color w:val="000000"/>
        </w:rPr>
        <w:t xml:space="preserve">cerebral vessels, using perfusion computed tomography (PCT) and transcranial Doppler (TCD) </w:t>
      </w:r>
      <w:r w:rsidR="00677E93">
        <w:rPr>
          <w:rFonts w:ascii="Arial" w:eastAsia="SimSun" w:hAnsi="Arial" w:cs="Arial"/>
          <w:color w:val="000000"/>
        </w:rPr>
        <w:t>in patients with traumatic brain injury</w:t>
      </w:r>
      <w:r w:rsidR="00677E93" w:rsidRPr="00797DC7">
        <w:rPr>
          <w:rFonts w:ascii="Arial" w:eastAsia="SimSun" w:hAnsi="Arial" w:cs="Arial"/>
          <w:color w:val="000000"/>
        </w:rPr>
        <w:t xml:space="preserve"> </w:t>
      </w:r>
      <w:r w:rsidR="00677E93">
        <w:rPr>
          <w:rFonts w:ascii="Arial" w:eastAsia="SimSun" w:hAnsi="Arial" w:cs="Arial"/>
          <w:color w:val="000000"/>
        </w:rPr>
        <w:t>(</w:t>
      </w:r>
      <w:r w:rsidR="00D01CBE">
        <w:rPr>
          <w:rFonts w:ascii="Arial" w:eastAsia="SimSun" w:hAnsi="Arial" w:cs="Arial"/>
          <w:color w:val="000000"/>
        </w:rPr>
        <w:t>TBI</w:t>
      </w:r>
      <w:r w:rsidR="00677E93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>, cerebral vasospasm</w:t>
      </w:r>
      <w:r w:rsidR="00D01CBE">
        <w:rPr>
          <w:rFonts w:ascii="Arial" w:eastAsia="SimSun" w:hAnsi="Arial" w:cs="Arial"/>
          <w:color w:val="000000"/>
        </w:rPr>
        <w:t xml:space="preserve"> (CVS)</w:t>
      </w:r>
      <w:r w:rsidR="00D01CBE" w:rsidRPr="00797DC7">
        <w:rPr>
          <w:rFonts w:ascii="Arial" w:eastAsia="SimSun" w:hAnsi="Arial" w:cs="Arial"/>
          <w:color w:val="000000"/>
        </w:rPr>
        <w:t xml:space="preserve"> and intracranial hematomas</w:t>
      </w:r>
      <w:r w:rsidR="00D01CBE">
        <w:rPr>
          <w:rFonts w:ascii="Arial" w:eastAsia="SimSun" w:hAnsi="Arial" w:cs="Arial"/>
          <w:color w:val="000000"/>
        </w:rPr>
        <w:t xml:space="preserve"> (ICH)</w:t>
      </w:r>
      <w:r w:rsidR="00D01CBE" w:rsidRPr="00797DC7">
        <w:rPr>
          <w:rFonts w:ascii="Arial" w:eastAsia="SimSun" w:hAnsi="Arial" w:cs="Arial"/>
          <w:color w:val="000000"/>
        </w:rPr>
        <w:t>.</w:t>
      </w:r>
      <w:r w:rsidR="00D01CBE">
        <w:rPr>
          <w:rFonts w:ascii="Arial" w:eastAsia="SimSun" w:hAnsi="Arial" w:cs="Arial"/>
          <w:color w:val="000000"/>
        </w:rPr>
        <w:t xml:space="preserve"> </w:t>
      </w:r>
      <w:r w:rsidR="00D01CBE" w:rsidRPr="00AA5065">
        <w:rPr>
          <w:rFonts w:ascii="Arial" w:eastAsia="SimSun" w:hAnsi="Arial" w:cs="Arial"/>
          <w:i/>
          <w:color w:val="000000"/>
        </w:rPr>
        <w:t>Methods</w:t>
      </w:r>
      <w:r w:rsidR="00AA5065">
        <w:rPr>
          <w:rFonts w:ascii="Arial" w:eastAsia="SimSun" w:hAnsi="Arial" w:cs="Arial"/>
          <w:i/>
          <w:color w:val="000000"/>
        </w:rPr>
        <w:t>:</w:t>
      </w:r>
      <w:r w:rsidR="00D01CBE" w:rsidRPr="00797DC7">
        <w:rPr>
          <w:rFonts w:ascii="Arial" w:eastAsia="SimSun" w:hAnsi="Arial" w:cs="Arial"/>
          <w:color w:val="000000"/>
        </w:rPr>
        <w:t xml:space="preserve"> 230 </w:t>
      </w:r>
      <w:r w:rsidR="00AA5065" w:rsidRPr="00797DC7">
        <w:rPr>
          <w:rFonts w:ascii="Arial" w:eastAsia="SimSun" w:hAnsi="Arial" w:cs="Arial"/>
          <w:color w:val="000000"/>
        </w:rPr>
        <w:t xml:space="preserve">TBI </w:t>
      </w:r>
      <w:r w:rsidR="00D01CBE" w:rsidRPr="00797DC7">
        <w:rPr>
          <w:rFonts w:ascii="Arial" w:eastAsia="SimSun" w:hAnsi="Arial" w:cs="Arial"/>
          <w:color w:val="000000"/>
        </w:rPr>
        <w:t xml:space="preserve">patients </w:t>
      </w:r>
      <w:r w:rsidR="00AA5065">
        <w:rPr>
          <w:rFonts w:ascii="Arial" w:eastAsia="SimSun" w:hAnsi="Arial" w:cs="Arial"/>
          <w:color w:val="000000"/>
        </w:rPr>
        <w:t xml:space="preserve">with </w:t>
      </w:r>
      <w:r w:rsidR="00AA5065" w:rsidRPr="00797DC7">
        <w:rPr>
          <w:rFonts w:ascii="Arial" w:eastAsia="SimSun" w:hAnsi="Arial" w:cs="Arial"/>
          <w:color w:val="000000"/>
        </w:rPr>
        <w:t xml:space="preserve">mean age </w:t>
      </w:r>
      <w:r w:rsidR="00AA5065">
        <w:rPr>
          <w:rFonts w:ascii="Arial" w:eastAsia="SimSun" w:hAnsi="Arial" w:cs="Arial"/>
          <w:color w:val="000000"/>
        </w:rPr>
        <w:t>of 35.5±</w:t>
      </w:r>
      <w:r w:rsidR="00AA5065" w:rsidRPr="00797DC7">
        <w:rPr>
          <w:rFonts w:ascii="Arial" w:eastAsia="SimSun" w:hAnsi="Arial" w:cs="Arial"/>
          <w:color w:val="000000"/>
        </w:rPr>
        <w:t xml:space="preserve">14.8 years </w:t>
      </w:r>
      <w:r w:rsidR="00D01CBE" w:rsidRPr="00797DC7">
        <w:rPr>
          <w:rFonts w:ascii="Arial" w:eastAsia="SimSun" w:hAnsi="Arial" w:cs="Arial"/>
          <w:color w:val="000000"/>
        </w:rPr>
        <w:t xml:space="preserve">were treated </w:t>
      </w:r>
      <w:r w:rsidR="00C77CAE" w:rsidRPr="00C77CAE">
        <w:rPr>
          <w:rFonts w:ascii="Arial" w:eastAsia="SimSun" w:hAnsi="Arial" w:cs="Arial"/>
          <w:color w:val="000000"/>
        </w:rPr>
        <w:t xml:space="preserve">at the Nizhniy Novgorod Regional Trauma Center </w:t>
      </w:r>
      <w:r w:rsidR="00D01CBE" w:rsidRPr="00797DC7">
        <w:rPr>
          <w:rFonts w:ascii="Arial" w:eastAsia="SimSun" w:hAnsi="Arial" w:cs="Arial"/>
          <w:color w:val="000000"/>
        </w:rPr>
        <w:t>in 2012–2017. The patients were divided into three groups: 1</w:t>
      </w:r>
      <w:r w:rsidR="00AA5065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 xml:space="preserve"> </w:t>
      </w:r>
      <w:r w:rsidR="00AA5065" w:rsidRPr="00797DC7">
        <w:rPr>
          <w:rFonts w:ascii="Arial" w:eastAsia="SimSun" w:hAnsi="Arial" w:cs="Arial"/>
          <w:color w:val="000000"/>
        </w:rPr>
        <w:t>diffuse TBI without</w:t>
      </w:r>
      <w:r w:rsidR="00677E93">
        <w:rPr>
          <w:rFonts w:ascii="Arial" w:eastAsia="SimSun" w:hAnsi="Arial" w:cs="Arial"/>
          <w:color w:val="000000"/>
        </w:rPr>
        <w:t xml:space="preserve"> </w:t>
      </w:r>
      <w:r w:rsidR="00AA5065">
        <w:rPr>
          <w:rFonts w:ascii="Arial" w:eastAsia="SimSun" w:hAnsi="Arial" w:cs="Arial"/>
          <w:color w:val="000000"/>
        </w:rPr>
        <w:t>ICH</w:t>
      </w:r>
      <w:r w:rsidR="00AA5065" w:rsidRPr="00B4211A">
        <w:rPr>
          <w:rFonts w:ascii="Arial" w:eastAsia="SimSun" w:hAnsi="Arial" w:cs="Arial"/>
          <w:color w:val="000000"/>
        </w:rPr>
        <w:t xml:space="preserve"> </w:t>
      </w:r>
      <w:r w:rsidR="00D01CBE" w:rsidRPr="00B4211A">
        <w:rPr>
          <w:rFonts w:ascii="Arial" w:eastAsia="SimSun" w:hAnsi="Arial" w:cs="Arial"/>
          <w:color w:val="000000"/>
        </w:rPr>
        <w:t>(</w:t>
      </w:r>
      <w:r w:rsidR="00D01CBE" w:rsidRPr="00797DC7">
        <w:rPr>
          <w:rFonts w:ascii="Arial" w:eastAsia="SimSun" w:hAnsi="Arial" w:cs="Arial"/>
          <w:color w:val="000000"/>
        </w:rPr>
        <w:t>75 patients</w:t>
      </w:r>
      <w:r w:rsidR="00D01CBE" w:rsidRPr="00B4211A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>; 2</w:t>
      </w:r>
      <w:r w:rsidR="00AA5065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 xml:space="preserve"> </w:t>
      </w:r>
      <w:r w:rsidR="00AA5065">
        <w:rPr>
          <w:rFonts w:ascii="Arial" w:eastAsia="SimSun" w:hAnsi="Arial" w:cs="Arial"/>
          <w:color w:val="000000"/>
        </w:rPr>
        <w:t>TBI</w:t>
      </w:r>
      <w:r w:rsidR="00AA5065" w:rsidRPr="00797DC7">
        <w:rPr>
          <w:rFonts w:ascii="Arial" w:eastAsia="SimSun" w:hAnsi="Arial" w:cs="Arial"/>
          <w:color w:val="000000"/>
        </w:rPr>
        <w:t xml:space="preserve"> </w:t>
      </w:r>
      <w:r w:rsidR="00AA5065">
        <w:rPr>
          <w:rFonts w:ascii="Arial" w:eastAsia="SimSun" w:hAnsi="Arial" w:cs="Arial"/>
          <w:color w:val="000000"/>
        </w:rPr>
        <w:t>with</w:t>
      </w:r>
      <w:r w:rsidR="00AA5065" w:rsidRPr="00797DC7">
        <w:rPr>
          <w:rFonts w:ascii="Arial" w:eastAsia="SimSun" w:hAnsi="Arial" w:cs="Arial"/>
          <w:color w:val="000000"/>
        </w:rPr>
        <w:t xml:space="preserve"> </w:t>
      </w:r>
      <w:r w:rsidR="00AA5065">
        <w:rPr>
          <w:rFonts w:ascii="Arial" w:eastAsia="SimSun" w:hAnsi="Arial" w:cs="Arial"/>
          <w:color w:val="000000"/>
        </w:rPr>
        <w:t>CVS</w:t>
      </w:r>
      <w:r w:rsidR="00AA5065" w:rsidRPr="00B4211A">
        <w:rPr>
          <w:rFonts w:ascii="Arial" w:eastAsia="SimSun" w:hAnsi="Arial" w:cs="Arial"/>
          <w:color w:val="000000"/>
        </w:rPr>
        <w:t xml:space="preserve"> </w:t>
      </w:r>
      <w:r w:rsidR="00D01CBE" w:rsidRPr="00B4211A">
        <w:rPr>
          <w:rFonts w:ascii="Arial" w:eastAsia="SimSun" w:hAnsi="Arial" w:cs="Arial"/>
          <w:color w:val="000000"/>
        </w:rPr>
        <w:t>(</w:t>
      </w:r>
      <w:r w:rsidR="00D01CBE" w:rsidRPr="00797DC7">
        <w:rPr>
          <w:rFonts w:ascii="Arial" w:eastAsia="SimSun" w:hAnsi="Arial" w:cs="Arial"/>
          <w:color w:val="000000"/>
        </w:rPr>
        <w:t>50 patient</w:t>
      </w:r>
      <w:r w:rsidR="00AA5065">
        <w:rPr>
          <w:rFonts w:ascii="Arial" w:eastAsia="SimSun" w:hAnsi="Arial" w:cs="Arial"/>
          <w:color w:val="000000"/>
        </w:rPr>
        <w:t>);</w:t>
      </w:r>
      <w:r w:rsidR="00D01CBE" w:rsidRPr="00797DC7">
        <w:rPr>
          <w:rFonts w:ascii="Arial" w:eastAsia="SimSun" w:hAnsi="Arial" w:cs="Arial"/>
          <w:color w:val="000000"/>
        </w:rPr>
        <w:t xml:space="preserve"> and 3</w:t>
      </w:r>
      <w:r w:rsidR="00AA5065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 xml:space="preserve"> </w:t>
      </w:r>
      <w:r w:rsidR="00AA5065" w:rsidRPr="00797DC7">
        <w:rPr>
          <w:rFonts w:ascii="Arial" w:eastAsia="SimSun" w:hAnsi="Arial" w:cs="Arial"/>
          <w:color w:val="000000"/>
        </w:rPr>
        <w:t xml:space="preserve">TBI </w:t>
      </w:r>
      <w:r w:rsidR="00AA5065">
        <w:rPr>
          <w:rFonts w:ascii="Arial" w:eastAsia="SimSun" w:hAnsi="Arial" w:cs="Arial"/>
          <w:color w:val="000000"/>
        </w:rPr>
        <w:t>with</w:t>
      </w:r>
      <w:r w:rsidR="00AA5065" w:rsidRPr="00797DC7">
        <w:rPr>
          <w:rFonts w:ascii="Arial" w:eastAsia="SimSun" w:hAnsi="Arial" w:cs="Arial"/>
          <w:color w:val="000000"/>
        </w:rPr>
        <w:t xml:space="preserve"> I</w:t>
      </w:r>
      <w:r w:rsidR="00AA5065">
        <w:rPr>
          <w:rFonts w:ascii="Arial" w:eastAsia="SimSun" w:hAnsi="Arial" w:cs="Arial"/>
          <w:color w:val="000000"/>
        </w:rPr>
        <w:t>C</w:t>
      </w:r>
      <w:r w:rsidR="00AA5065" w:rsidRPr="00797DC7">
        <w:rPr>
          <w:rFonts w:ascii="Arial" w:eastAsia="SimSun" w:hAnsi="Arial" w:cs="Arial"/>
          <w:color w:val="000000"/>
        </w:rPr>
        <w:t>H</w:t>
      </w:r>
      <w:r w:rsidR="00AA5065" w:rsidRPr="00B4211A">
        <w:rPr>
          <w:rFonts w:ascii="Arial" w:eastAsia="SimSun" w:hAnsi="Arial" w:cs="Arial"/>
          <w:color w:val="000000"/>
        </w:rPr>
        <w:t xml:space="preserve"> </w:t>
      </w:r>
      <w:r w:rsidR="00D01CBE" w:rsidRPr="00B4211A">
        <w:rPr>
          <w:rFonts w:ascii="Arial" w:eastAsia="SimSun" w:hAnsi="Arial" w:cs="Arial"/>
          <w:color w:val="000000"/>
        </w:rPr>
        <w:t>(</w:t>
      </w:r>
      <w:r w:rsidR="00D01CBE" w:rsidRPr="00797DC7">
        <w:rPr>
          <w:rFonts w:ascii="Arial" w:eastAsia="SimSun" w:hAnsi="Arial" w:cs="Arial"/>
          <w:color w:val="000000"/>
        </w:rPr>
        <w:t>95 patients</w:t>
      </w:r>
      <w:r w:rsidR="00D01CBE" w:rsidRPr="00B4211A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 xml:space="preserve">. Assessment of </w:t>
      </w:r>
      <w:r w:rsidR="00677E93">
        <w:rPr>
          <w:rFonts w:ascii="Arial" w:eastAsia="SimSun" w:hAnsi="Arial" w:cs="Arial"/>
          <w:color w:val="000000"/>
        </w:rPr>
        <w:t>cerebral</w:t>
      </w:r>
      <w:r w:rsidR="005A7654">
        <w:rPr>
          <w:rFonts w:ascii="Arial" w:eastAsia="SimSun" w:hAnsi="Arial" w:cs="Arial"/>
          <w:color w:val="000000"/>
        </w:rPr>
        <w:t xml:space="preserve"> blood flow volume (</w:t>
      </w:r>
      <w:r w:rsidR="00D01CBE" w:rsidRPr="00797DC7">
        <w:rPr>
          <w:rFonts w:ascii="Arial" w:eastAsia="SimSun" w:hAnsi="Arial" w:cs="Arial"/>
          <w:color w:val="000000"/>
        </w:rPr>
        <w:t>CBFV</w:t>
      </w:r>
      <w:r w:rsidR="005A7654">
        <w:rPr>
          <w:rFonts w:ascii="Arial" w:eastAsia="SimSun" w:hAnsi="Arial" w:cs="Arial"/>
          <w:color w:val="000000"/>
        </w:rPr>
        <w:t>)</w:t>
      </w:r>
      <w:r w:rsidR="00D01CBE" w:rsidRPr="00797DC7">
        <w:rPr>
          <w:rFonts w:ascii="Arial" w:eastAsia="SimSun" w:hAnsi="Arial" w:cs="Arial"/>
          <w:color w:val="000000"/>
        </w:rPr>
        <w:t xml:space="preserve"> </w:t>
      </w:r>
      <w:r w:rsidR="00677E93">
        <w:rPr>
          <w:rFonts w:ascii="Arial" w:eastAsia="SimSun" w:hAnsi="Arial" w:cs="Arial"/>
          <w:color w:val="000000"/>
        </w:rPr>
        <w:t xml:space="preserve">using PCT </w:t>
      </w:r>
      <w:r w:rsidR="00D01CBE" w:rsidRPr="00797DC7">
        <w:rPr>
          <w:rFonts w:ascii="Arial" w:eastAsia="SimSun" w:hAnsi="Arial" w:cs="Arial"/>
          <w:color w:val="000000"/>
        </w:rPr>
        <w:t xml:space="preserve">in both middle cerebral arteries (MCAs) was performed immediately followed by </w:t>
      </w:r>
      <w:r w:rsidR="00D01CBE">
        <w:rPr>
          <w:rFonts w:ascii="Arial" w:eastAsia="SimSun" w:hAnsi="Arial" w:cs="Arial"/>
          <w:color w:val="000000"/>
        </w:rPr>
        <w:t>TCD</w:t>
      </w:r>
      <w:r w:rsidR="00D01CBE" w:rsidRPr="00797DC7">
        <w:rPr>
          <w:rFonts w:ascii="Arial" w:eastAsia="SimSun" w:hAnsi="Arial" w:cs="Arial"/>
          <w:color w:val="000000"/>
        </w:rPr>
        <w:t xml:space="preserve"> to provide consistent </w:t>
      </w:r>
      <w:r w:rsidR="00D01CBE">
        <w:rPr>
          <w:rFonts w:ascii="Arial" w:eastAsia="SimSun" w:hAnsi="Arial" w:cs="Arial"/>
          <w:color w:val="000000"/>
        </w:rPr>
        <w:t>conditions for the study of CBF</w:t>
      </w:r>
      <w:r w:rsidR="00D01CBE" w:rsidRPr="00797DC7">
        <w:rPr>
          <w:rFonts w:ascii="Arial" w:eastAsia="SimSun" w:hAnsi="Arial" w:cs="Arial"/>
          <w:color w:val="000000"/>
        </w:rPr>
        <w:t xml:space="preserve">. </w:t>
      </w:r>
      <w:r w:rsidR="00D01CBE" w:rsidRPr="00A24C1E">
        <w:rPr>
          <w:rFonts w:ascii="Arial" w:eastAsia="SimSun" w:hAnsi="Arial" w:cs="Arial"/>
          <w:i/>
          <w:color w:val="000000"/>
        </w:rPr>
        <w:t>Results</w:t>
      </w:r>
      <w:r w:rsidR="005A7654" w:rsidRPr="00A24C1E">
        <w:rPr>
          <w:rFonts w:ascii="Arial" w:eastAsia="SimSun" w:hAnsi="Arial" w:cs="Arial"/>
          <w:i/>
          <w:color w:val="000000"/>
        </w:rPr>
        <w:t>:</w:t>
      </w:r>
      <w:r w:rsidR="00D01CBE" w:rsidRPr="00797DC7">
        <w:rPr>
          <w:rFonts w:ascii="Arial" w:eastAsia="SimSun" w:hAnsi="Arial" w:cs="Arial"/>
          <w:color w:val="000000"/>
        </w:rPr>
        <w:t xml:space="preserve"> In </w:t>
      </w:r>
      <w:r w:rsidR="00D01CBE">
        <w:rPr>
          <w:rFonts w:ascii="Arial" w:eastAsia="SimSun" w:hAnsi="Arial" w:cs="Arial"/>
          <w:color w:val="000000"/>
        </w:rPr>
        <w:t xml:space="preserve">the group 1 </w:t>
      </w:r>
      <w:r w:rsidR="00D01CBE" w:rsidRPr="00797DC7">
        <w:rPr>
          <w:rFonts w:ascii="Arial" w:eastAsia="SimSun" w:hAnsi="Arial" w:cs="Arial"/>
          <w:color w:val="000000"/>
        </w:rPr>
        <w:t xml:space="preserve">the </w:t>
      </w:r>
      <w:r w:rsidR="00A24C1E">
        <w:rPr>
          <w:rFonts w:ascii="Arial" w:eastAsia="SimSun" w:hAnsi="Arial" w:cs="Arial"/>
          <w:color w:val="000000"/>
        </w:rPr>
        <w:t>CBFV</w:t>
      </w:r>
      <w:r w:rsidR="00D01CBE" w:rsidRPr="00797DC7">
        <w:rPr>
          <w:rFonts w:ascii="Arial" w:eastAsia="SimSun" w:hAnsi="Arial" w:cs="Arial"/>
          <w:color w:val="000000"/>
        </w:rPr>
        <w:t xml:space="preserve"> had statistically valid, expressed correlations with the linear </w:t>
      </w:r>
      <w:r w:rsidR="00D01CBE">
        <w:rPr>
          <w:rFonts w:ascii="Arial" w:eastAsia="SimSun" w:hAnsi="Arial" w:cs="Arial"/>
          <w:color w:val="000000"/>
        </w:rPr>
        <w:t>CBF</w:t>
      </w:r>
      <w:r w:rsidR="00D01CBE" w:rsidRPr="00797DC7">
        <w:rPr>
          <w:rFonts w:ascii="Arial" w:eastAsia="SimSun" w:hAnsi="Arial" w:cs="Arial"/>
          <w:color w:val="000000"/>
        </w:rPr>
        <w:t xml:space="preserve"> </w:t>
      </w:r>
      <w:r w:rsidR="00D01CBE">
        <w:rPr>
          <w:rFonts w:ascii="Arial" w:eastAsia="SimSun" w:hAnsi="Arial" w:cs="Arial"/>
          <w:color w:val="000000"/>
        </w:rPr>
        <w:t>(</w:t>
      </w:r>
      <w:r w:rsidR="00D01CBE" w:rsidRPr="00797DC7">
        <w:rPr>
          <w:rFonts w:ascii="Arial" w:eastAsia="SimSun" w:hAnsi="Arial" w:cs="Arial"/>
          <w:color w:val="000000"/>
        </w:rPr>
        <w:t xml:space="preserve">p </w:t>
      </w:r>
      <w:r w:rsidR="00A24C1E">
        <w:rPr>
          <w:rFonts w:ascii="Arial" w:eastAsia="SimSun" w:hAnsi="Arial" w:cs="Arial"/>
          <w:color w:val="000000"/>
        </w:rPr>
        <w:t>&lt;</w:t>
      </w:r>
      <w:r w:rsidR="00D01CBE" w:rsidRPr="00797DC7">
        <w:rPr>
          <w:rFonts w:ascii="Arial" w:eastAsia="SimSun" w:hAnsi="Arial" w:cs="Arial"/>
          <w:color w:val="000000"/>
        </w:rPr>
        <w:t xml:space="preserve"> 0.0</w:t>
      </w:r>
      <w:r w:rsidR="00A24C1E">
        <w:rPr>
          <w:rFonts w:ascii="Arial" w:eastAsia="SimSun" w:hAnsi="Arial" w:cs="Arial"/>
          <w:color w:val="000000"/>
        </w:rPr>
        <w:t>5</w:t>
      </w:r>
      <w:r w:rsidR="00D01CBE" w:rsidRPr="00797DC7">
        <w:rPr>
          <w:rFonts w:ascii="Arial" w:eastAsia="SimSun" w:hAnsi="Arial" w:cs="Arial"/>
          <w:color w:val="000000"/>
        </w:rPr>
        <w:t xml:space="preserve"> on the left; p </w:t>
      </w:r>
      <w:r w:rsidR="00A24C1E">
        <w:rPr>
          <w:rFonts w:ascii="Arial" w:eastAsia="SimSun" w:hAnsi="Arial" w:cs="Arial"/>
          <w:color w:val="000000"/>
        </w:rPr>
        <w:t>&lt;</w:t>
      </w:r>
      <w:r w:rsidR="00D01CBE" w:rsidRPr="00797DC7">
        <w:rPr>
          <w:rFonts w:ascii="Arial" w:eastAsia="SimSun" w:hAnsi="Arial" w:cs="Arial"/>
          <w:color w:val="000000"/>
        </w:rPr>
        <w:t xml:space="preserve"> 0.00</w:t>
      </w:r>
      <w:r w:rsidR="00A24C1E">
        <w:rPr>
          <w:rFonts w:ascii="Arial" w:eastAsia="SimSun" w:hAnsi="Arial" w:cs="Arial"/>
          <w:color w:val="000000"/>
        </w:rPr>
        <w:t>1</w:t>
      </w:r>
      <w:r w:rsidR="00D01CBE" w:rsidRPr="00797DC7">
        <w:rPr>
          <w:rFonts w:ascii="Arial" w:eastAsia="SimSun" w:hAnsi="Arial" w:cs="Arial"/>
          <w:color w:val="000000"/>
        </w:rPr>
        <w:t xml:space="preserve"> on the right). In the </w:t>
      </w:r>
      <w:r w:rsidR="00D01CBE">
        <w:rPr>
          <w:rFonts w:ascii="Arial" w:eastAsia="SimSun" w:hAnsi="Arial" w:cs="Arial"/>
          <w:color w:val="000000"/>
        </w:rPr>
        <w:t>group 2</w:t>
      </w:r>
      <w:r w:rsidR="00D01CBE" w:rsidRPr="00797DC7">
        <w:rPr>
          <w:rFonts w:ascii="Arial" w:eastAsia="SimSun" w:hAnsi="Arial" w:cs="Arial"/>
          <w:color w:val="000000"/>
        </w:rPr>
        <w:t xml:space="preserve">, correlation analysis has not reveal any significant correlation between the values of the </w:t>
      </w:r>
      <w:r w:rsidR="00D01CBE">
        <w:rPr>
          <w:rFonts w:ascii="Arial" w:eastAsia="SimSun" w:hAnsi="Arial" w:cs="Arial"/>
          <w:color w:val="000000"/>
        </w:rPr>
        <w:t>CBF</w:t>
      </w:r>
      <w:r w:rsidR="00A24C1E">
        <w:rPr>
          <w:rFonts w:ascii="Arial" w:eastAsia="SimSun" w:hAnsi="Arial" w:cs="Arial"/>
          <w:color w:val="000000"/>
        </w:rPr>
        <w:t>V</w:t>
      </w:r>
      <w:r w:rsidR="00D01CBE" w:rsidRPr="00797DC7">
        <w:rPr>
          <w:rFonts w:ascii="Arial" w:eastAsia="SimSun" w:hAnsi="Arial" w:cs="Arial"/>
          <w:color w:val="000000"/>
        </w:rPr>
        <w:t xml:space="preserve"> in the temporal lobes and the </w:t>
      </w:r>
      <w:r w:rsidR="00A24C1E">
        <w:rPr>
          <w:rFonts w:ascii="Arial" w:eastAsia="SimSun" w:hAnsi="Arial" w:cs="Arial"/>
          <w:color w:val="000000"/>
        </w:rPr>
        <w:t>CBF</w:t>
      </w:r>
      <w:r w:rsidR="00D01CBE" w:rsidRPr="00797DC7">
        <w:rPr>
          <w:rFonts w:ascii="Arial" w:eastAsia="SimSun" w:hAnsi="Arial" w:cs="Arial"/>
          <w:color w:val="000000"/>
        </w:rPr>
        <w:t xml:space="preserve"> in the MC</w:t>
      </w:r>
      <w:r w:rsidR="005A7654">
        <w:rPr>
          <w:rFonts w:ascii="Arial" w:eastAsia="SimSun" w:hAnsi="Arial" w:cs="Arial"/>
          <w:color w:val="000000"/>
        </w:rPr>
        <w:t>A</w:t>
      </w:r>
      <w:r w:rsidR="00D01CBE" w:rsidRPr="00797DC7">
        <w:rPr>
          <w:rFonts w:ascii="Arial" w:eastAsia="SimSun" w:hAnsi="Arial" w:cs="Arial"/>
          <w:color w:val="000000"/>
        </w:rPr>
        <w:t xml:space="preserve">. In </w:t>
      </w:r>
      <w:r w:rsidR="00D01CBE">
        <w:rPr>
          <w:rFonts w:ascii="Arial" w:eastAsia="SimSun" w:hAnsi="Arial" w:cs="Arial"/>
          <w:color w:val="000000"/>
        </w:rPr>
        <w:t>the group 3</w:t>
      </w:r>
      <w:r w:rsidR="00D01CBE" w:rsidRPr="00797DC7">
        <w:rPr>
          <w:rFonts w:ascii="Arial" w:eastAsia="SimSun" w:hAnsi="Arial" w:cs="Arial"/>
          <w:color w:val="000000"/>
        </w:rPr>
        <w:t xml:space="preserve"> the correlation analysis has not revealed any reliable correlations between the </w:t>
      </w:r>
      <w:r w:rsidR="00D01CBE">
        <w:rPr>
          <w:rFonts w:ascii="Arial" w:eastAsia="SimSun" w:hAnsi="Arial" w:cs="Arial"/>
          <w:color w:val="000000"/>
        </w:rPr>
        <w:t>CBFV</w:t>
      </w:r>
      <w:r w:rsidR="00D01CBE" w:rsidRPr="00797DC7">
        <w:rPr>
          <w:rFonts w:ascii="Arial" w:eastAsia="SimSun" w:hAnsi="Arial" w:cs="Arial"/>
          <w:color w:val="000000"/>
        </w:rPr>
        <w:t xml:space="preserve"> and the </w:t>
      </w:r>
      <w:r w:rsidR="00D01CBE">
        <w:rPr>
          <w:rFonts w:ascii="Arial" w:eastAsia="SimSun" w:hAnsi="Arial" w:cs="Arial"/>
          <w:color w:val="000000"/>
        </w:rPr>
        <w:t>CBF</w:t>
      </w:r>
      <w:r w:rsidR="00D01CBE" w:rsidRPr="00797DC7">
        <w:rPr>
          <w:rFonts w:ascii="Arial" w:eastAsia="SimSun" w:hAnsi="Arial" w:cs="Arial"/>
          <w:color w:val="000000"/>
        </w:rPr>
        <w:t xml:space="preserve"> neither on the side of the removed </w:t>
      </w:r>
      <w:r w:rsidR="00D01CBE">
        <w:rPr>
          <w:rFonts w:ascii="Arial" w:eastAsia="SimSun" w:hAnsi="Arial" w:cs="Arial"/>
          <w:color w:val="000000"/>
        </w:rPr>
        <w:t>ICH</w:t>
      </w:r>
      <w:r w:rsidR="00D01CBE" w:rsidRPr="00797DC7">
        <w:rPr>
          <w:rFonts w:ascii="Arial" w:eastAsia="SimSun" w:hAnsi="Arial" w:cs="Arial"/>
          <w:color w:val="000000"/>
        </w:rPr>
        <w:t xml:space="preserve"> nor on the opposite side.</w:t>
      </w:r>
      <w:r w:rsidR="00D01CBE">
        <w:rPr>
          <w:rFonts w:ascii="Arial" w:eastAsia="SimSun" w:hAnsi="Arial" w:cs="Arial"/>
          <w:color w:val="000000"/>
        </w:rPr>
        <w:t xml:space="preserve"> The </w:t>
      </w:r>
      <w:r w:rsidR="00D01CBE" w:rsidRPr="00797DC7">
        <w:rPr>
          <w:rFonts w:ascii="Arial" w:eastAsia="SimSun" w:hAnsi="Arial" w:cs="Arial"/>
          <w:color w:val="000000"/>
        </w:rPr>
        <w:t xml:space="preserve">patients </w:t>
      </w:r>
      <w:r w:rsidR="00D01CBE">
        <w:rPr>
          <w:rFonts w:ascii="Arial" w:eastAsia="SimSun" w:hAnsi="Arial" w:cs="Arial"/>
          <w:color w:val="000000"/>
        </w:rPr>
        <w:t>in group 2</w:t>
      </w:r>
      <w:r w:rsidR="00D01CBE" w:rsidRPr="00797DC7">
        <w:rPr>
          <w:rFonts w:ascii="Arial" w:eastAsia="SimSun" w:hAnsi="Arial" w:cs="Arial"/>
          <w:color w:val="000000"/>
        </w:rPr>
        <w:t xml:space="preserve"> showed the </w:t>
      </w:r>
      <w:r w:rsidR="00D01CBE">
        <w:rPr>
          <w:rFonts w:ascii="Arial" w:eastAsia="SimSun" w:hAnsi="Arial" w:cs="Arial"/>
          <w:color w:val="000000"/>
        </w:rPr>
        <w:t xml:space="preserve">negative </w:t>
      </w:r>
      <w:r w:rsidR="00D01CBE" w:rsidRPr="00797DC7">
        <w:rPr>
          <w:rFonts w:ascii="Arial" w:eastAsia="SimSun" w:hAnsi="Arial" w:cs="Arial"/>
          <w:color w:val="000000"/>
        </w:rPr>
        <w:t xml:space="preserve">significant correlation between the </w:t>
      </w:r>
      <w:r w:rsidR="00D01CBE">
        <w:rPr>
          <w:rFonts w:ascii="Arial" w:eastAsia="SimSun" w:hAnsi="Arial" w:cs="Arial"/>
          <w:color w:val="000000"/>
        </w:rPr>
        <w:t>CBF</w:t>
      </w:r>
      <w:r w:rsidR="00A24C1E">
        <w:rPr>
          <w:rFonts w:ascii="Arial" w:eastAsia="SimSun" w:hAnsi="Arial" w:cs="Arial"/>
          <w:color w:val="000000"/>
        </w:rPr>
        <w:t>V</w:t>
      </w:r>
      <w:r w:rsidR="00D01CBE">
        <w:rPr>
          <w:rFonts w:ascii="Arial" w:eastAsia="SimSun" w:hAnsi="Arial" w:cs="Arial"/>
          <w:color w:val="000000"/>
        </w:rPr>
        <w:t xml:space="preserve"> </w:t>
      </w:r>
      <w:r w:rsidR="00D01CBE" w:rsidRPr="00797DC7">
        <w:rPr>
          <w:rFonts w:ascii="Arial" w:eastAsia="SimSun" w:hAnsi="Arial" w:cs="Arial"/>
          <w:color w:val="000000"/>
        </w:rPr>
        <w:t xml:space="preserve">and </w:t>
      </w:r>
      <w:r w:rsidR="00D01CBE">
        <w:rPr>
          <w:rFonts w:ascii="Arial" w:eastAsia="SimSun" w:hAnsi="Arial" w:cs="Arial"/>
          <w:color w:val="000000"/>
        </w:rPr>
        <w:t xml:space="preserve">CBF </w:t>
      </w:r>
      <w:r w:rsidR="00D01CBE" w:rsidRPr="00797DC7">
        <w:rPr>
          <w:rFonts w:ascii="Arial" w:eastAsia="SimSun" w:hAnsi="Arial" w:cs="Arial"/>
          <w:color w:val="000000"/>
        </w:rPr>
        <w:t xml:space="preserve">in the region of the removed </w:t>
      </w:r>
      <w:r w:rsidR="00D01CBE">
        <w:rPr>
          <w:rFonts w:ascii="Arial" w:eastAsia="SimSun" w:hAnsi="Arial" w:cs="Arial"/>
          <w:color w:val="000000"/>
        </w:rPr>
        <w:t>ICH</w:t>
      </w:r>
      <w:r w:rsidR="00D01CBE" w:rsidRPr="00797DC7">
        <w:rPr>
          <w:rFonts w:ascii="Arial" w:eastAsia="SimSun" w:hAnsi="Arial" w:cs="Arial"/>
          <w:color w:val="000000"/>
        </w:rPr>
        <w:t xml:space="preserve"> (p </w:t>
      </w:r>
      <w:r w:rsidR="00A24C1E">
        <w:rPr>
          <w:rFonts w:ascii="Arial" w:eastAsia="SimSun" w:hAnsi="Arial" w:cs="Arial"/>
          <w:color w:val="000000"/>
        </w:rPr>
        <w:t>&lt;</w:t>
      </w:r>
      <w:r w:rsidR="00D01CBE" w:rsidRPr="00797DC7">
        <w:rPr>
          <w:rFonts w:ascii="Arial" w:eastAsia="SimSun" w:hAnsi="Arial" w:cs="Arial"/>
          <w:color w:val="000000"/>
        </w:rPr>
        <w:t xml:space="preserve"> 0.0</w:t>
      </w:r>
      <w:r w:rsidR="00A24C1E">
        <w:rPr>
          <w:rFonts w:ascii="Arial" w:eastAsia="SimSun" w:hAnsi="Arial" w:cs="Arial"/>
          <w:color w:val="000000"/>
        </w:rPr>
        <w:t>5</w:t>
      </w:r>
      <w:r w:rsidR="00D01CBE" w:rsidRPr="00797DC7">
        <w:rPr>
          <w:rFonts w:ascii="Arial" w:eastAsia="SimSun" w:hAnsi="Arial" w:cs="Arial"/>
          <w:color w:val="000000"/>
        </w:rPr>
        <w:t>).</w:t>
      </w:r>
      <w:r w:rsidR="00D01CBE">
        <w:rPr>
          <w:rFonts w:ascii="Arial" w:eastAsia="SimSun" w:hAnsi="Arial" w:cs="Arial"/>
          <w:color w:val="000000"/>
        </w:rPr>
        <w:t xml:space="preserve"> O</w:t>
      </w:r>
      <w:r w:rsidR="00D01CBE" w:rsidRPr="00797DC7">
        <w:rPr>
          <w:rFonts w:ascii="Arial" w:eastAsia="SimSun" w:hAnsi="Arial" w:cs="Arial"/>
          <w:color w:val="000000"/>
        </w:rPr>
        <w:t>n the opposite side of the brain no significant correlation has been revealed between these parameters.</w:t>
      </w:r>
      <w:r w:rsidR="00D01CBE">
        <w:rPr>
          <w:rFonts w:ascii="Arial" w:eastAsia="SimSun" w:hAnsi="Arial" w:cs="Arial"/>
          <w:color w:val="000000"/>
        </w:rPr>
        <w:t xml:space="preserve"> </w:t>
      </w:r>
      <w:r w:rsidR="00D01CBE" w:rsidRPr="00A24C1E">
        <w:rPr>
          <w:rFonts w:ascii="Arial" w:eastAsia="SimSun" w:hAnsi="Arial" w:cs="Arial"/>
          <w:i/>
          <w:color w:val="000000"/>
        </w:rPr>
        <w:t>Conclusion</w:t>
      </w:r>
      <w:r w:rsidR="00677E93">
        <w:rPr>
          <w:rFonts w:ascii="Arial" w:eastAsia="SimSun" w:hAnsi="Arial" w:cs="Arial"/>
          <w:i/>
          <w:color w:val="000000"/>
        </w:rPr>
        <w:t xml:space="preserve">: </w:t>
      </w:r>
      <w:r w:rsidR="00D01CBE">
        <w:rPr>
          <w:rFonts w:ascii="Arial" w:eastAsia="SimSun" w:hAnsi="Arial" w:cs="Arial"/>
          <w:color w:val="000000"/>
        </w:rPr>
        <w:t>T</w:t>
      </w:r>
      <w:r w:rsidR="00D01CBE" w:rsidRPr="00797DC7">
        <w:rPr>
          <w:rFonts w:ascii="Arial" w:eastAsia="SimSun" w:hAnsi="Arial" w:cs="Arial"/>
          <w:color w:val="000000"/>
        </w:rPr>
        <w:t>he development of these phenomena is an after-effect of serious disturba</w:t>
      </w:r>
      <w:r w:rsidR="00D01CBE">
        <w:rPr>
          <w:rFonts w:ascii="Arial" w:eastAsia="SimSun" w:hAnsi="Arial" w:cs="Arial"/>
          <w:color w:val="000000"/>
        </w:rPr>
        <w:t>nces of cerebral autoregulation</w:t>
      </w:r>
      <w:r w:rsidR="00D01CBE" w:rsidRPr="00797DC7">
        <w:rPr>
          <w:rFonts w:ascii="Arial" w:eastAsia="SimSun" w:hAnsi="Arial" w:cs="Arial"/>
          <w:color w:val="000000"/>
        </w:rPr>
        <w:t>.</w:t>
      </w:r>
    </w:p>
    <w:p w:rsidR="00D84360" w:rsidRDefault="00514F29" w:rsidP="00A24C1E">
      <w:pPr>
        <w:tabs>
          <w:tab w:val="left" w:pos="1418"/>
          <w:tab w:val="left" w:pos="4536"/>
        </w:tabs>
        <w:jc w:val="both"/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D84360">
        <w:rPr>
          <w:rFonts w:ascii="Arial" w:hAnsi="Arial" w:cs="Arial"/>
        </w:rPr>
        <w:tab/>
      </w:r>
      <w:bookmarkStart w:id="0" w:name="_GoBack"/>
      <w:bookmarkEnd w:id="0"/>
      <w:r w:rsidR="00D01CBE" w:rsidRPr="00B0338E">
        <w:rPr>
          <w:rFonts w:ascii="Arial" w:hAnsi="Arial" w:cs="Arial"/>
          <w:noProof/>
          <w:highlight w:val="black"/>
        </w:rPr>
        <w:drawing>
          <wp:inline distT="0" distB="0" distL="0" distR="0">
            <wp:extent cx="1888490" cy="25209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431" w:rsidRDefault="00E96431" w:rsidP="004D18EE">
      <w:pPr>
        <w:spacing w:after="0" w:line="240" w:lineRule="auto"/>
      </w:pPr>
      <w:r>
        <w:separator/>
      </w:r>
    </w:p>
  </w:endnote>
  <w:endnote w:type="continuationSeparator" w:id="0">
    <w:p w:rsidR="00E96431" w:rsidRDefault="00E96431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431" w:rsidRDefault="00E96431" w:rsidP="004D18EE">
      <w:pPr>
        <w:spacing w:after="0" w:line="240" w:lineRule="auto"/>
      </w:pPr>
      <w:r>
        <w:separator/>
      </w:r>
    </w:p>
  </w:footnote>
  <w:footnote w:type="continuationSeparator" w:id="0">
    <w:p w:rsidR="00E96431" w:rsidRDefault="00E96431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37510"/>
    <w:rsid w:val="00042078"/>
    <w:rsid w:val="000B0BE9"/>
    <w:rsid w:val="00103239"/>
    <w:rsid w:val="00103CE4"/>
    <w:rsid w:val="001248EF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4767E4"/>
    <w:rsid w:val="004A6398"/>
    <w:rsid w:val="004D18EE"/>
    <w:rsid w:val="004E6648"/>
    <w:rsid w:val="00514F29"/>
    <w:rsid w:val="00536063"/>
    <w:rsid w:val="00555A7D"/>
    <w:rsid w:val="005A7654"/>
    <w:rsid w:val="006533FC"/>
    <w:rsid w:val="00653440"/>
    <w:rsid w:val="00677E93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727B8"/>
    <w:rsid w:val="008C0A91"/>
    <w:rsid w:val="008F1F76"/>
    <w:rsid w:val="009465E3"/>
    <w:rsid w:val="009748F1"/>
    <w:rsid w:val="009C200F"/>
    <w:rsid w:val="00A24C1E"/>
    <w:rsid w:val="00A478D2"/>
    <w:rsid w:val="00A50945"/>
    <w:rsid w:val="00A86019"/>
    <w:rsid w:val="00AA5065"/>
    <w:rsid w:val="00AE00E0"/>
    <w:rsid w:val="00B0338E"/>
    <w:rsid w:val="00B77F3F"/>
    <w:rsid w:val="00B920D5"/>
    <w:rsid w:val="00C220F3"/>
    <w:rsid w:val="00C403FA"/>
    <w:rsid w:val="00C4265A"/>
    <w:rsid w:val="00C43FF3"/>
    <w:rsid w:val="00C77CAE"/>
    <w:rsid w:val="00CB5844"/>
    <w:rsid w:val="00D01CBE"/>
    <w:rsid w:val="00D301FC"/>
    <w:rsid w:val="00D377B8"/>
    <w:rsid w:val="00D72A09"/>
    <w:rsid w:val="00D84360"/>
    <w:rsid w:val="00DA1FFD"/>
    <w:rsid w:val="00E2366C"/>
    <w:rsid w:val="00E946D5"/>
    <w:rsid w:val="00E96431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43DDE6-76C3-A242-A34A-A921B45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ragin@salud.un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Microsoft Office User</cp:lastModifiedBy>
  <cp:revision>11</cp:revision>
  <cp:lastPrinted>2012-03-06T08:56:00Z</cp:lastPrinted>
  <dcterms:created xsi:type="dcterms:W3CDTF">2018-04-14T22:59:00Z</dcterms:created>
  <dcterms:modified xsi:type="dcterms:W3CDTF">2018-04-15T17:26:00Z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