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063" w:rsidRDefault="00603879">
      <w:pPr>
        <w:shd w:val="clear" w:color="auto" w:fill="FFFFFF"/>
        <w:spacing w:after="225" w:line="270" w:lineRule="atLeast"/>
        <w:jc w:val="center"/>
        <w:rPr>
          <w:rFonts w:ascii="Arial" w:eastAsia="SimSun" w:hAnsi="Arial" w:cs="Arial"/>
          <w:b/>
          <w:bCs/>
          <w:color w:val="000000"/>
          <w:sz w:val="28"/>
          <w:szCs w:val="28"/>
        </w:rPr>
      </w:pPr>
      <w:r>
        <w:rPr>
          <w:rFonts w:ascii="Arial" w:eastAsia="SimSun" w:hAnsi="Arial" w:cs="Arial"/>
          <w:b/>
          <w:bCs/>
          <w:color w:val="000000"/>
          <w:sz w:val="28"/>
          <w:szCs w:val="28"/>
        </w:rPr>
        <w:t>Progression of cerebral perfusion</w:t>
      </w:r>
      <w:r w:rsidR="00FF67D0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 and metabolism </w:t>
      </w:r>
      <w:r w:rsidR="00F7608F">
        <w:rPr>
          <w:rFonts w:ascii="Arial" w:eastAsia="SimSun" w:hAnsi="Arial" w:cs="Arial"/>
          <w:b/>
          <w:bCs/>
          <w:color w:val="000000"/>
          <w:sz w:val="28"/>
          <w:szCs w:val="28"/>
        </w:rPr>
        <w:t>in neonatal</w:t>
      </w:r>
      <w:r w:rsidR="00FF67D0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 hypoxic-ischaemic encephalopathy</w:t>
      </w:r>
    </w:p>
    <w:p w:rsidR="00536063" w:rsidRPr="00982617" w:rsidRDefault="0057788E" w:rsidP="0098261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G.Bale</w:t>
      </w:r>
      <w:r>
        <w:rPr>
          <w:rFonts w:ascii="Arial" w:hAnsi="Arial" w:cs="Arial"/>
          <w:b/>
          <w:vertAlign w:val="superscript"/>
        </w:rPr>
        <w:t>a</w:t>
      </w:r>
      <w:r>
        <w:rPr>
          <w:rFonts w:ascii="Arial" w:hAnsi="Arial" w:cs="Arial"/>
          <w:b/>
        </w:rPr>
        <w:t>, N.Taylor</w:t>
      </w:r>
      <w:r>
        <w:rPr>
          <w:rFonts w:ascii="Arial" w:hAnsi="Arial" w:cs="Arial"/>
          <w:b/>
          <w:vertAlign w:val="superscript"/>
        </w:rPr>
        <w:t>a</w:t>
      </w:r>
      <w:r>
        <w:rPr>
          <w:rFonts w:ascii="Arial" w:hAnsi="Arial" w:cs="Arial"/>
          <w:b/>
        </w:rPr>
        <w:t>, S.Mitra</w:t>
      </w:r>
      <w:r>
        <w:rPr>
          <w:rFonts w:ascii="Arial" w:hAnsi="Arial" w:cs="Arial"/>
          <w:b/>
          <w:vertAlign w:val="superscript"/>
        </w:rPr>
        <w:t>b</w:t>
      </w:r>
      <w:r>
        <w:rPr>
          <w:rFonts w:ascii="Arial" w:hAnsi="Arial" w:cs="Arial"/>
          <w:b/>
        </w:rPr>
        <w:t>, I.de Roever</w:t>
      </w:r>
      <w:r>
        <w:rPr>
          <w:rFonts w:ascii="Arial" w:hAnsi="Arial" w:cs="Arial"/>
          <w:b/>
          <w:vertAlign w:val="superscript"/>
        </w:rPr>
        <w:t>a</w:t>
      </w:r>
      <w:r>
        <w:rPr>
          <w:rFonts w:ascii="Arial" w:hAnsi="Arial" w:cs="Arial"/>
          <w:b/>
        </w:rPr>
        <w:t>, J.Meek,</w:t>
      </w:r>
      <w:r>
        <w:rPr>
          <w:rFonts w:ascii="Arial" w:hAnsi="Arial" w:cs="Arial"/>
          <w:b/>
          <w:vertAlign w:val="superscript"/>
        </w:rPr>
        <w:t>b</w:t>
      </w:r>
      <w:r>
        <w:rPr>
          <w:rFonts w:ascii="Arial" w:hAnsi="Arial" w:cs="Arial"/>
          <w:b/>
        </w:rPr>
        <w:t xml:space="preserve"> N.Robertson</w:t>
      </w:r>
      <w:r>
        <w:rPr>
          <w:rFonts w:ascii="Arial" w:hAnsi="Arial" w:cs="Arial"/>
          <w:b/>
          <w:vertAlign w:val="superscript"/>
        </w:rPr>
        <w:t>b</w:t>
      </w:r>
      <w:r w:rsidR="00FE1598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I.Tachtsidis</w:t>
      </w:r>
      <w:r>
        <w:rPr>
          <w:rFonts w:ascii="Arial" w:hAnsi="Arial" w:cs="Arial"/>
          <w:b/>
          <w:vertAlign w:val="superscript"/>
        </w:rPr>
        <w:t>a</w:t>
      </w:r>
    </w:p>
    <w:p w:rsidR="00536063" w:rsidRDefault="00A8601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a </w:t>
      </w:r>
      <w:r w:rsidR="0057788E">
        <w:rPr>
          <w:rFonts w:ascii="Arial" w:hAnsi="Arial" w:cs="Arial"/>
          <w:i/>
        </w:rPr>
        <w:t>Medical Physics and Biomedical Engineering, University College London, UK</w:t>
      </w:r>
    </w:p>
    <w:p w:rsidR="00536063" w:rsidRDefault="00A86019" w:rsidP="0057788E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b </w:t>
      </w:r>
      <w:r w:rsidR="0057788E">
        <w:rPr>
          <w:rFonts w:ascii="Arial" w:hAnsi="Arial" w:cs="Arial"/>
          <w:i/>
        </w:rPr>
        <w:t>Institute of Women’s Health, University College London, UK</w:t>
      </w:r>
    </w:p>
    <w:p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:rsidR="00536063" w:rsidRDefault="00A8601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Corresponding </w:t>
      </w:r>
      <w:r>
        <w:rPr>
          <w:rFonts w:ascii="Arial" w:hAnsi="Arial" w:cs="Arial" w:hint="eastAsia"/>
          <w:i/>
        </w:rPr>
        <w:t>a</w:t>
      </w:r>
      <w:r w:rsidR="0057788E">
        <w:rPr>
          <w:rFonts w:ascii="Arial" w:hAnsi="Arial" w:cs="Arial"/>
          <w:i/>
        </w:rPr>
        <w:t xml:space="preserve">uthor e-mail address: </w:t>
      </w:r>
      <w:r w:rsidR="0057788E" w:rsidRPr="0057788E">
        <w:rPr>
          <w:rFonts w:ascii="Arial" w:hAnsi="Arial" w:cs="Arial"/>
          <w:i/>
        </w:rPr>
        <w:t>g.bale@ucl.ac.uk</w:t>
      </w:r>
    </w:p>
    <w:p w:rsidR="0057788E" w:rsidRDefault="0057788E">
      <w:pPr>
        <w:spacing w:after="0" w:line="240" w:lineRule="auto"/>
        <w:jc w:val="center"/>
        <w:rPr>
          <w:rFonts w:ascii="Arial" w:hAnsi="Arial" w:cs="Arial"/>
          <w:i/>
        </w:rPr>
      </w:pPr>
    </w:p>
    <w:p w:rsidR="00380801" w:rsidRDefault="00A86019" w:rsidP="00134C39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r>
        <w:rPr>
          <w:rFonts w:ascii="Arial" w:eastAsia="SimSun" w:hAnsi="Arial" w:cs="Arial"/>
          <w:b/>
          <w:color w:val="000000"/>
        </w:rPr>
        <w:t>Abstract:</w:t>
      </w:r>
      <w:r w:rsidR="009748F1">
        <w:rPr>
          <w:rFonts w:ascii="Arial" w:eastAsiaTheme="minorEastAsia" w:hAnsi="Arial" w:cs="Arial" w:hint="eastAsia"/>
          <w:b/>
          <w:color w:val="000000"/>
          <w:lang w:eastAsia="ko-KR"/>
        </w:rPr>
        <w:t xml:space="preserve"> </w:t>
      </w:r>
      <w:r w:rsidR="00380801" w:rsidRPr="00380801">
        <w:rPr>
          <w:rFonts w:ascii="Arial" w:eastAsiaTheme="minorEastAsia" w:hAnsi="Arial" w:cs="Arial"/>
          <w:color w:val="000000"/>
          <w:u w:val="single"/>
          <w:lang w:eastAsia="ko-KR"/>
        </w:rPr>
        <w:t>Introduction:</w:t>
      </w:r>
      <w:r w:rsidR="00380801">
        <w:rPr>
          <w:rFonts w:ascii="Arial" w:eastAsiaTheme="minorEastAsia" w:hAnsi="Arial" w:cs="Arial"/>
          <w:b/>
          <w:color w:val="000000"/>
          <w:lang w:eastAsia="ko-KR"/>
        </w:rPr>
        <w:t xml:space="preserve"> </w:t>
      </w:r>
      <w:r w:rsidR="002E066B">
        <w:rPr>
          <w:rFonts w:ascii="Arial" w:eastAsia="SimSun" w:hAnsi="Arial" w:cs="Arial"/>
          <w:color w:val="000000"/>
        </w:rPr>
        <w:t xml:space="preserve">During hypoxic-ischaemic encephalopathy, </w:t>
      </w:r>
      <w:r w:rsidR="0092335E">
        <w:rPr>
          <w:rFonts w:ascii="Arial" w:eastAsia="SimSun" w:hAnsi="Arial" w:cs="Arial"/>
          <w:color w:val="000000"/>
        </w:rPr>
        <w:t xml:space="preserve">there are </w:t>
      </w:r>
      <w:r w:rsidR="002E066B">
        <w:rPr>
          <w:rFonts w:ascii="Arial" w:eastAsia="SimSun" w:hAnsi="Arial" w:cs="Arial"/>
          <w:color w:val="000000"/>
        </w:rPr>
        <w:t xml:space="preserve">significant fluctuations in cerebral perfusion </w:t>
      </w:r>
      <w:r w:rsidR="00380801">
        <w:rPr>
          <w:rFonts w:ascii="Arial" w:eastAsia="SimSun" w:hAnsi="Arial" w:cs="Arial"/>
          <w:color w:val="000000"/>
        </w:rPr>
        <w:t>as the injury evolves;</w:t>
      </w:r>
      <w:r w:rsidR="00380801" w:rsidRPr="00380801">
        <w:rPr>
          <w:rFonts w:ascii="Arial" w:eastAsia="SimSun" w:hAnsi="Arial" w:cs="Arial"/>
          <w:color w:val="000000"/>
        </w:rPr>
        <w:t xml:space="preserve"> </w:t>
      </w:r>
      <w:r w:rsidR="00380801">
        <w:rPr>
          <w:rFonts w:ascii="Arial" w:eastAsia="SimSun" w:hAnsi="Arial" w:cs="Arial"/>
          <w:color w:val="000000"/>
        </w:rPr>
        <w:t xml:space="preserve">including </w:t>
      </w:r>
      <w:r w:rsidR="00380801" w:rsidRPr="00F312B1">
        <w:rPr>
          <w:rFonts w:ascii="Arial" w:eastAsia="SimSun" w:hAnsi="Arial" w:cs="Arial"/>
          <w:color w:val="000000"/>
        </w:rPr>
        <w:t>hypoperfusion</w:t>
      </w:r>
      <w:r w:rsidR="00380801">
        <w:rPr>
          <w:rFonts w:ascii="Arial" w:eastAsia="SimSun" w:hAnsi="Arial" w:cs="Arial"/>
          <w:color w:val="000000"/>
        </w:rPr>
        <w:t xml:space="preserve"> during the latent phase </w:t>
      </w:r>
      <w:r w:rsidR="00380801">
        <w:rPr>
          <w:rFonts w:ascii="Arial" w:eastAsia="SimSun" w:hAnsi="Arial" w:cs="Arial"/>
          <w:color w:val="000000"/>
        </w:rPr>
        <w:t xml:space="preserve">immediately </w:t>
      </w:r>
      <w:r w:rsidR="00380801">
        <w:rPr>
          <w:rFonts w:ascii="Arial" w:eastAsia="SimSun" w:hAnsi="Arial" w:cs="Arial"/>
          <w:color w:val="000000"/>
        </w:rPr>
        <w:t>after hypoxia-ischaemia</w:t>
      </w:r>
      <w:r w:rsidR="00380801">
        <w:rPr>
          <w:rFonts w:ascii="Arial" w:eastAsia="SimSun" w:hAnsi="Arial" w:cs="Arial"/>
          <w:color w:val="000000"/>
        </w:rPr>
        <w:t xml:space="preserve"> and during therapeutic hypothermia,</w:t>
      </w:r>
      <w:r w:rsidR="00380801">
        <w:rPr>
          <w:rFonts w:ascii="Arial" w:eastAsia="SimSun" w:hAnsi="Arial" w:cs="Arial"/>
          <w:color w:val="000000"/>
        </w:rPr>
        <w:t xml:space="preserve"> and</w:t>
      </w:r>
      <w:r w:rsidR="00380801">
        <w:rPr>
          <w:rFonts w:ascii="Arial" w:eastAsia="SimSun" w:hAnsi="Arial" w:cs="Arial"/>
          <w:color w:val="000000"/>
        </w:rPr>
        <w:t xml:space="preserve"> hyperperfusion after rewarming</w:t>
      </w:r>
      <w:r w:rsidR="0092335E">
        <w:rPr>
          <w:rFonts w:ascii="Arial" w:eastAsia="SimSun" w:hAnsi="Arial" w:cs="Arial"/>
          <w:color w:val="000000"/>
          <w:vertAlign w:val="superscript"/>
        </w:rPr>
        <w:t>1,2</w:t>
      </w:r>
      <w:r w:rsidR="002E066B">
        <w:rPr>
          <w:rFonts w:ascii="Arial" w:eastAsia="SimSun" w:hAnsi="Arial" w:cs="Arial"/>
          <w:color w:val="000000"/>
        </w:rPr>
        <w:t>.</w:t>
      </w:r>
      <w:r w:rsidR="00380801">
        <w:rPr>
          <w:rFonts w:ascii="Arial" w:eastAsia="SimSun" w:hAnsi="Arial" w:cs="Arial"/>
          <w:color w:val="000000"/>
        </w:rPr>
        <w:t xml:space="preserve"> </w:t>
      </w:r>
    </w:p>
    <w:p w:rsidR="00380801" w:rsidRDefault="00380801" w:rsidP="00134C39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r w:rsidRPr="00380801">
        <w:rPr>
          <w:rFonts w:ascii="Arial" w:eastAsia="SimSun" w:hAnsi="Arial" w:cs="Arial"/>
          <w:color w:val="000000"/>
          <w:u w:val="single"/>
        </w:rPr>
        <w:t>Methods:</w:t>
      </w:r>
      <w:r>
        <w:rPr>
          <w:rFonts w:ascii="Arial" w:eastAsia="SimSun" w:hAnsi="Arial" w:cs="Arial"/>
          <w:color w:val="000000"/>
        </w:rPr>
        <w:t xml:space="preserve"> We used b</w:t>
      </w:r>
      <w:r w:rsidR="0066109A">
        <w:rPr>
          <w:rFonts w:ascii="Arial" w:eastAsia="SimSun" w:hAnsi="Arial" w:cs="Arial"/>
          <w:color w:val="000000"/>
        </w:rPr>
        <w:t xml:space="preserve">roadband near-infrared spectroscopy (NIRS) to monitor cerebral blood flow (CBF) and metabolism </w:t>
      </w:r>
      <w:r w:rsidR="00126B48">
        <w:rPr>
          <w:rFonts w:ascii="Arial" w:eastAsia="SimSun" w:hAnsi="Arial" w:cs="Arial"/>
          <w:color w:val="000000"/>
        </w:rPr>
        <w:t>(via oxidation state of cytochrome-c-oxidase</w:t>
      </w:r>
      <w:r w:rsidR="00950A56">
        <w:rPr>
          <w:rFonts w:ascii="Arial" w:eastAsia="SimSun" w:hAnsi="Arial" w:cs="Arial"/>
          <w:color w:val="000000"/>
        </w:rPr>
        <w:t>, oxCCO</w:t>
      </w:r>
      <w:r w:rsidR="00126B48">
        <w:rPr>
          <w:rFonts w:ascii="Arial" w:eastAsia="SimSun" w:hAnsi="Arial" w:cs="Arial"/>
          <w:color w:val="000000"/>
        </w:rPr>
        <w:t xml:space="preserve">) </w:t>
      </w:r>
      <w:r w:rsidR="0066109A">
        <w:rPr>
          <w:rFonts w:ascii="Arial" w:eastAsia="SimSun" w:hAnsi="Arial" w:cs="Arial"/>
          <w:color w:val="000000"/>
        </w:rPr>
        <w:t xml:space="preserve">in </w:t>
      </w:r>
      <w:r w:rsidR="005F5FB8">
        <w:rPr>
          <w:rFonts w:ascii="Arial" w:eastAsia="SimSun" w:hAnsi="Arial" w:cs="Arial"/>
          <w:color w:val="000000"/>
        </w:rPr>
        <w:t>64</w:t>
      </w:r>
      <w:r w:rsidR="0066109A">
        <w:rPr>
          <w:rFonts w:ascii="Arial" w:eastAsia="SimSun" w:hAnsi="Arial" w:cs="Arial"/>
          <w:color w:val="000000"/>
        </w:rPr>
        <w:t xml:space="preserve"> term</w:t>
      </w:r>
      <w:r w:rsidR="0066109A" w:rsidRPr="00EB6C80">
        <w:rPr>
          <w:rFonts w:ascii="Arial" w:eastAsia="SimSun" w:hAnsi="Arial" w:cs="Arial"/>
          <w:color w:val="000000"/>
        </w:rPr>
        <w:t xml:space="preserve"> neonates </w:t>
      </w:r>
      <w:r w:rsidR="00F312B1">
        <w:rPr>
          <w:rFonts w:ascii="Arial" w:eastAsia="SimSun" w:hAnsi="Arial" w:cs="Arial"/>
          <w:color w:val="000000"/>
        </w:rPr>
        <w:t>with</w:t>
      </w:r>
      <w:r w:rsidR="0066109A" w:rsidRPr="00EB6C80">
        <w:rPr>
          <w:rFonts w:ascii="Arial" w:eastAsia="SimSun" w:hAnsi="Arial" w:cs="Arial"/>
          <w:color w:val="000000"/>
        </w:rPr>
        <w:t xml:space="preserve"> hypoxic-ischaemic </w:t>
      </w:r>
      <w:r w:rsidR="00F312B1">
        <w:rPr>
          <w:rFonts w:ascii="Arial" w:eastAsia="SimSun" w:hAnsi="Arial" w:cs="Arial"/>
          <w:color w:val="000000"/>
        </w:rPr>
        <w:t>encephalopathy (HIE)</w:t>
      </w:r>
      <w:r w:rsidR="0066109A" w:rsidRPr="00EB6C80">
        <w:rPr>
          <w:rFonts w:ascii="Arial" w:eastAsia="SimSun" w:hAnsi="Arial" w:cs="Arial"/>
          <w:color w:val="000000"/>
        </w:rPr>
        <w:t xml:space="preserve"> </w:t>
      </w:r>
      <w:r w:rsidR="00F312B1">
        <w:rPr>
          <w:rFonts w:ascii="Arial" w:eastAsia="SimSun" w:hAnsi="Arial" w:cs="Arial"/>
          <w:color w:val="000000"/>
        </w:rPr>
        <w:t>in the first days of life</w:t>
      </w:r>
      <w:r w:rsidR="0092335E">
        <w:rPr>
          <w:rFonts w:ascii="Arial" w:eastAsia="SimSun" w:hAnsi="Arial" w:cs="Arial"/>
          <w:color w:val="000000"/>
          <w:vertAlign w:val="superscript"/>
        </w:rPr>
        <w:t>3</w:t>
      </w:r>
      <w:r w:rsidR="0066109A" w:rsidRPr="00EB6C80">
        <w:rPr>
          <w:rFonts w:ascii="Arial" w:eastAsia="SimSun" w:hAnsi="Arial" w:cs="Arial"/>
          <w:color w:val="000000"/>
        </w:rPr>
        <w:t>. During monitoring, spontaneous oxygen desaturation events</w:t>
      </w:r>
      <w:r w:rsidR="0066109A">
        <w:rPr>
          <w:rFonts w:ascii="Arial" w:eastAsia="SimSun" w:hAnsi="Arial" w:cs="Arial"/>
          <w:color w:val="000000"/>
        </w:rPr>
        <w:t xml:space="preserve"> were common</w:t>
      </w:r>
      <w:r w:rsidR="0066109A" w:rsidRPr="00EB6C80">
        <w:rPr>
          <w:rFonts w:ascii="Arial" w:eastAsia="SimSun" w:hAnsi="Arial" w:cs="Arial"/>
          <w:color w:val="000000"/>
        </w:rPr>
        <w:t xml:space="preserve">. </w:t>
      </w:r>
      <w:r w:rsidR="00F312B1">
        <w:rPr>
          <w:rFonts w:ascii="Arial" w:eastAsia="SimSun" w:hAnsi="Arial" w:cs="Arial"/>
          <w:color w:val="000000"/>
        </w:rPr>
        <w:t>CBF was calculated from</w:t>
      </w:r>
      <w:r w:rsidR="0066109A" w:rsidRPr="00EB6C80">
        <w:rPr>
          <w:rFonts w:ascii="Arial" w:eastAsia="SimSun" w:hAnsi="Arial" w:cs="Arial"/>
          <w:color w:val="000000"/>
        </w:rPr>
        <w:t xml:space="preserve"> the NIRS cerebral oxygenation data (HbD = oxyhaemoglobin - deoxyhaemoglobin) combined with arterial saturation (SpO</w:t>
      </w:r>
      <w:r w:rsidR="0066109A">
        <w:rPr>
          <w:rFonts w:ascii="Arial" w:eastAsia="SimSun" w:hAnsi="Arial" w:cs="Arial"/>
          <w:color w:val="000000"/>
          <w:vertAlign w:val="subscript"/>
        </w:rPr>
        <w:t>2</w:t>
      </w:r>
      <w:r w:rsidR="0066109A" w:rsidRPr="00EB6C80">
        <w:rPr>
          <w:rFonts w:ascii="Arial" w:eastAsia="SimSun" w:hAnsi="Arial" w:cs="Arial"/>
          <w:color w:val="000000"/>
        </w:rPr>
        <w:t xml:space="preserve">) </w:t>
      </w:r>
      <w:r w:rsidR="00126B48">
        <w:rPr>
          <w:rFonts w:ascii="Arial" w:eastAsia="SimSun" w:hAnsi="Arial" w:cs="Arial"/>
          <w:color w:val="000000"/>
        </w:rPr>
        <w:t xml:space="preserve">during desaturation events </w:t>
      </w:r>
      <w:r w:rsidR="00F312B1">
        <w:rPr>
          <w:rFonts w:ascii="Arial" w:eastAsia="SimSun" w:hAnsi="Arial" w:cs="Arial"/>
          <w:color w:val="000000"/>
        </w:rPr>
        <w:t xml:space="preserve">using </w:t>
      </w:r>
      <w:r w:rsidR="005F5FB8">
        <w:rPr>
          <w:rFonts w:ascii="Arial" w:eastAsia="SimSun" w:hAnsi="Arial" w:cs="Arial"/>
          <w:color w:val="000000"/>
        </w:rPr>
        <w:t>a</w:t>
      </w:r>
      <w:r w:rsidR="00F312B1">
        <w:rPr>
          <w:rFonts w:ascii="Arial" w:eastAsia="SimSun" w:hAnsi="Arial" w:cs="Arial"/>
          <w:color w:val="000000"/>
        </w:rPr>
        <w:t xml:space="preserve"> </w:t>
      </w:r>
      <w:r w:rsidR="00126B48">
        <w:rPr>
          <w:rFonts w:ascii="Arial" w:eastAsia="SimSun" w:hAnsi="Arial" w:cs="Arial"/>
          <w:color w:val="000000"/>
        </w:rPr>
        <w:t xml:space="preserve">method based on </w:t>
      </w:r>
      <w:r w:rsidR="005F5FB8">
        <w:rPr>
          <w:rFonts w:ascii="Arial" w:eastAsia="SimSun" w:hAnsi="Arial" w:cs="Arial"/>
          <w:color w:val="000000"/>
        </w:rPr>
        <w:t>Fick’s</w:t>
      </w:r>
      <w:r w:rsidR="00126B48">
        <w:rPr>
          <w:rFonts w:ascii="Arial" w:eastAsia="SimSun" w:hAnsi="Arial" w:cs="Arial"/>
          <w:color w:val="000000"/>
        </w:rPr>
        <w:t xml:space="preserve"> Law</w:t>
      </w:r>
      <w:r w:rsidR="0092335E">
        <w:rPr>
          <w:rFonts w:ascii="Arial" w:eastAsia="SimSun" w:hAnsi="Arial" w:cs="Arial"/>
          <w:color w:val="000000"/>
          <w:vertAlign w:val="superscript"/>
        </w:rPr>
        <w:t>4</w:t>
      </w:r>
      <w:r w:rsidR="00F312B1">
        <w:rPr>
          <w:rFonts w:ascii="Arial" w:eastAsia="SimSun" w:hAnsi="Arial" w:cs="Arial"/>
          <w:color w:val="000000"/>
        </w:rPr>
        <w:t>.</w:t>
      </w:r>
      <w:r w:rsidR="005F5FB8">
        <w:rPr>
          <w:rFonts w:ascii="Arial" w:eastAsia="SimSun" w:hAnsi="Arial" w:cs="Arial"/>
          <w:color w:val="000000"/>
        </w:rPr>
        <w:t xml:space="preserve"> </w:t>
      </w:r>
    </w:p>
    <w:p w:rsidR="00380801" w:rsidRDefault="00380801" w:rsidP="00134C39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r w:rsidRPr="00380801">
        <w:rPr>
          <w:rFonts w:ascii="Arial" w:eastAsia="SimSun" w:hAnsi="Arial" w:cs="Arial"/>
          <w:color w:val="000000"/>
          <w:u w:val="single"/>
        </w:rPr>
        <w:t>Results</w:t>
      </w:r>
      <w:r>
        <w:rPr>
          <w:rFonts w:ascii="Arial" w:eastAsia="SimSun" w:hAnsi="Arial" w:cs="Arial"/>
          <w:color w:val="000000"/>
        </w:rPr>
        <w:t xml:space="preserve">: </w:t>
      </w:r>
      <w:r w:rsidR="005F5FB8">
        <w:rPr>
          <w:rFonts w:ascii="Arial" w:eastAsia="SimSun" w:hAnsi="Arial" w:cs="Arial"/>
          <w:color w:val="000000"/>
        </w:rPr>
        <w:t xml:space="preserve">CBF was calculated </w:t>
      </w:r>
      <w:r>
        <w:rPr>
          <w:rFonts w:ascii="Arial" w:eastAsia="SimSun" w:hAnsi="Arial" w:cs="Arial"/>
          <w:color w:val="000000"/>
        </w:rPr>
        <w:t>from 385 e</w:t>
      </w:r>
      <w:r>
        <w:rPr>
          <w:rFonts w:ascii="Arial" w:eastAsia="SimSun" w:hAnsi="Arial" w:cs="Arial"/>
          <w:color w:val="000000"/>
        </w:rPr>
        <w:t xml:space="preserve">ligible events </w:t>
      </w:r>
      <w:r w:rsidR="005F5FB8">
        <w:rPr>
          <w:rFonts w:ascii="Arial" w:eastAsia="SimSun" w:hAnsi="Arial" w:cs="Arial"/>
          <w:color w:val="000000"/>
        </w:rPr>
        <w:t>in 47 neonates</w:t>
      </w:r>
      <w:r w:rsidR="009B7116">
        <w:rPr>
          <w:rFonts w:ascii="Arial" w:eastAsia="SimSun" w:hAnsi="Arial" w:cs="Arial"/>
          <w:color w:val="000000"/>
        </w:rPr>
        <w:t xml:space="preserve"> (see Table 1)</w:t>
      </w:r>
      <w:r w:rsidR="005F5FB8">
        <w:rPr>
          <w:rFonts w:ascii="Arial" w:eastAsia="SimSun" w:hAnsi="Arial" w:cs="Arial"/>
          <w:color w:val="000000"/>
        </w:rPr>
        <w:t>.</w:t>
      </w:r>
      <w:r w:rsidR="00134C39">
        <w:rPr>
          <w:rFonts w:ascii="Arial" w:eastAsia="SimSun" w:hAnsi="Arial" w:cs="Arial"/>
          <w:color w:val="000000"/>
        </w:rPr>
        <w:t xml:space="preserve"> </w:t>
      </w:r>
      <w:r w:rsidR="00126B48">
        <w:rPr>
          <w:rFonts w:ascii="Arial" w:eastAsia="SimSun" w:hAnsi="Arial" w:cs="Arial"/>
          <w:color w:val="000000"/>
        </w:rPr>
        <w:t xml:space="preserve">Figure 1 shows the </w:t>
      </w:r>
      <w:r w:rsidR="00E25DC6">
        <w:rPr>
          <w:rFonts w:ascii="Arial" w:eastAsia="SimSun" w:hAnsi="Arial" w:cs="Arial"/>
          <w:color w:val="000000"/>
        </w:rPr>
        <w:t xml:space="preserve">weighted </w:t>
      </w:r>
      <w:r w:rsidR="009B7116">
        <w:rPr>
          <w:rFonts w:ascii="Arial" w:eastAsia="SimSun" w:hAnsi="Arial" w:cs="Arial"/>
          <w:color w:val="000000"/>
        </w:rPr>
        <w:t xml:space="preserve">mean of CBF in babies with </w:t>
      </w:r>
      <w:r w:rsidR="00971CE7">
        <w:rPr>
          <w:rFonts w:ascii="Arial" w:eastAsia="SimSun" w:hAnsi="Arial" w:cs="Arial"/>
          <w:color w:val="000000"/>
        </w:rPr>
        <w:t xml:space="preserve">different levels of </w:t>
      </w:r>
      <w:r w:rsidR="009B7116">
        <w:rPr>
          <w:rFonts w:ascii="Arial" w:eastAsia="SimSun" w:hAnsi="Arial" w:cs="Arial"/>
          <w:color w:val="000000"/>
        </w:rPr>
        <w:t>HIE over the first 5 days of life (therapeutic hypothermia on days 1-3, rewarming on day 4)</w:t>
      </w:r>
      <w:r w:rsidR="00126B48">
        <w:rPr>
          <w:rFonts w:ascii="Arial" w:eastAsia="SimSun" w:hAnsi="Arial" w:cs="Arial"/>
          <w:color w:val="000000"/>
        </w:rPr>
        <w:t>. The CBF was stable (</w:t>
      </w:r>
      <w:r w:rsidR="009B7116">
        <w:rPr>
          <w:rFonts w:ascii="Arial" w:eastAsia="SimSun" w:hAnsi="Arial" w:cs="Arial"/>
          <w:color w:val="000000"/>
        </w:rPr>
        <w:t>p&gt;</w:t>
      </w:r>
      <w:r w:rsidR="000177BC">
        <w:rPr>
          <w:rFonts w:ascii="Arial" w:eastAsia="SimSun" w:hAnsi="Arial" w:cs="Arial"/>
          <w:color w:val="000000"/>
        </w:rPr>
        <w:t>0.05</w:t>
      </w:r>
      <w:r w:rsidR="00126B48">
        <w:rPr>
          <w:rFonts w:ascii="Arial" w:eastAsia="SimSun" w:hAnsi="Arial" w:cs="Arial"/>
          <w:color w:val="000000"/>
        </w:rPr>
        <w:t xml:space="preserve">) </w:t>
      </w:r>
      <w:r w:rsidR="009B7116">
        <w:rPr>
          <w:rFonts w:ascii="Arial" w:eastAsia="SimSun" w:hAnsi="Arial" w:cs="Arial"/>
          <w:color w:val="000000"/>
        </w:rPr>
        <w:t>across all days</w:t>
      </w:r>
      <w:r w:rsidR="00126B48">
        <w:rPr>
          <w:rFonts w:ascii="Arial" w:eastAsia="SimSun" w:hAnsi="Arial" w:cs="Arial"/>
          <w:color w:val="000000"/>
        </w:rPr>
        <w:t xml:space="preserve"> in moderate injury </w:t>
      </w:r>
      <w:r w:rsidR="00126B48" w:rsidRPr="00F312B1">
        <w:rPr>
          <w:rFonts w:ascii="Arial" w:eastAsia="SimSun" w:hAnsi="Arial" w:cs="Arial"/>
          <w:color w:val="000000"/>
        </w:rPr>
        <w:t>(</w:t>
      </w:r>
      <w:r w:rsidR="00126B48">
        <w:rPr>
          <w:rFonts w:ascii="Arial" w:eastAsia="SimSun" w:hAnsi="Arial" w:cs="Arial"/>
          <w:color w:val="000000"/>
        </w:rPr>
        <w:t xml:space="preserve">thalamic </w:t>
      </w:r>
      <w:r w:rsidR="00126B48" w:rsidRPr="00F312B1">
        <w:rPr>
          <w:rFonts w:ascii="Arial" w:eastAsia="SimSun" w:hAnsi="Arial" w:cs="Arial"/>
          <w:color w:val="000000"/>
        </w:rPr>
        <w:t>Lac/NAA</w:t>
      </w:r>
      <w:r w:rsidR="00126B48">
        <w:rPr>
          <w:rFonts w:ascii="Arial" w:eastAsia="SimSun" w:hAnsi="Arial" w:cs="Arial"/>
          <w:color w:val="000000"/>
        </w:rPr>
        <w:t>&lt;</w:t>
      </w:r>
      <w:r w:rsidR="00126B48" w:rsidRPr="00F312B1">
        <w:rPr>
          <w:rFonts w:ascii="Arial" w:eastAsia="SimSun" w:hAnsi="Arial" w:cs="Arial"/>
          <w:color w:val="000000"/>
        </w:rPr>
        <w:t>0.3</w:t>
      </w:r>
      <w:r w:rsidR="00126B48">
        <w:rPr>
          <w:rFonts w:ascii="Arial" w:eastAsia="SimSun" w:hAnsi="Arial" w:cs="Arial"/>
          <w:color w:val="000000"/>
        </w:rPr>
        <w:t>, n=20</w:t>
      </w:r>
      <w:r w:rsidR="00126B48" w:rsidRPr="00F312B1">
        <w:rPr>
          <w:rFonts w:ascii="Arial" w:eastAsia="SimSun" w:hAnsi="Arial" w:cs="Arial"/>
          <w:color w:val="000000"/>
        </w:rPr>
        <w:t>)</w:t>
      </w:r>
      <w:r w:rsidR="00126B48">
        <w:rPr>
          <w:rFonts w:ascii="Arial" w:eastAsia="SimSun" w:hAnsi="Arial" w:cs="Arial"/>
          <w:color w:val="000000"/>
        </w:rPr>
        <w:t xml:space="preserve">. </w:t>
      </w:r>
      <w:r w:rsidR="0092335E">
        <w:rPr>
          <w:rFonts w:ascii="Arial" w:eastAsia="SimSun" w:hAnsi="Arial" w:cs="Arial"/>
          <w:color w:val="000000"/>
        </w:rPr>
        <w:t>I</w:t>
      </w:r>
      <w:r w:rsidR="00F312B1" w:rsidRPr="00F312B1">
        <w:rPr>
          <w:rFonts w:ascii="Arial" w:eastAsia="SimSun" w:hAnsi="Arial" w:cs="Arial"/>
          <w:color w:val="000000"/>
        </w:rPr>
        <w:t xml:space="preserve">n severe cases </w:t>
      </w:r>
      <w:r w:rsidR="00F312B1">
        <w:rPr>
          <w:rFonts w:ascii="Arial" w:eastAsia="SimSun" w:hAnsi="Arial" w:cs="Arial"/>
          <w:color w:val="000000"/>
        </w:rPr>
        <w:t xml:space="preserve">of HIE </w:t>
      </w:r>
      <w:r w:rsidR="00F312B1" w:rsidRPr="00F312B1">
        <w:rPr>
          <w:rFonts w:ascii="Arial" w:eastAsia="SimSun" w:hAnsi="Arial" w:cs="Arial"/>
          <w:color w:val="000000"/>
        </w:rPr>
        <w:t>(Lac/NAA≥0.3</w:t>
      </w:r>
      <w:r w:rsidR="005F5FB8">
        <w:rPr>
          <w:rFonts w:ascii="Arial" w:eastAsia="SimSun" w:hAnsi="Arial" w:cs="Arial"/>
          <w:color w:val="000000"/>
        </w:rPr>
        <w:t>, n=13</w:t>
      </w:r>
      <w:r w:rsidR="00F312B1" w:rsidRPr="00F312B1">
        <w:rPr>
          <w:rFonts w:ascii="Arial" w:eastAsia="SimSun" w:hAnsi="Arial" w:cs="Arial"/>
          <w:color w:val="000000"/>
        </w:rPr>
        <w:t xml:space="preserve">), mean CBF was lower on the </w:t>
      </w:r>
      <w:r w:rsidR="009B7116">
        <w:rPr>
          <w:rFonts w:ascii="Arial" w:eastAsia="SimSun" w:hAnsi="Arial" w:cs="Arial"/>
          <w:color w:val="000000"/>
        </w:rPr>
        <w:t>first day of life</w:t>
      </w:r>
      <w:r w:rsidR="00F312B1" w:rsidRPr="00F312B1">
        <w:rPr>
          <w:rFonts w:ascii="Arial" w:eastAsia="SimSun" w:hAnsi="Arial" w:cs="Arial"/>
          <w:color w:val="000000"/>
        </w:rPr>
        <w:t xml:space="preserve"> compared to moderate cases</w:t>
      </w:r>
      <w:r w:rsidR="000177BC">
        <w:rPr>
          <w:rFonts w:ascii="Arial" w:eastAsia="SimSun" w:hAnsi="Arial" w:cs="Arial"/>
          <w:color w:val="000000"/>
        </w:rPr>
        <w:t xml:space="preserve"> (p</w:t>
      </w:r>
      <w:r w:rsidR="009B7116">
        <w:rPr>
          <w:rFonts w:ascii="Arial" w:eastAsia="SimSun" w:hAnsi="Arial" w:cs="Arial"/>
          <w:color w:val="000000"/>
        </w:rPr>
        <w:t>=0.02</w:t>
      </w:r>
      <w:r w:rsidR="000177BC">
        <w:rPr>
          <w:rFonts w:ascii="Arial" w:eastAsia="SimSun" w:hAnsi="Arial" w:cs="Arial"/>
          <w:color w:val="000000"/>
        </w:rPr>
        <w:t>)</w:t>
      </w:r>
      <w:r w:rsidR="00F312B1" w:rsidRPr="00F312B1">
        <w:rPr>
          <w:rFonts w:ascii="Arial" w:eastAsia="SimSun" w:hAnsi="Arial" w:cs="Arial"/>
          <w:color w:val="000000"/>
        </w:rPr>
        <w:t xml:space="preserve">, and higher </w:t>
      </w:r>
      <w:r w:rsidR="009B7116">
        <w:rPr>
          <w:rFonts w:ascii="Arial" w:eastAsia="SimSun" w:hAnsi="Arial" w:cs="Arial"/>
          <w:color w:val="000000"/>
        </w:rPr>
        <w:t>on day 5 after rewarming (p</w:t>
      </w:r>
      <w:r w:rsidR="00F312B1" w:rsidRPr="00F312B1">
        <w:rPr>
          <w:rFonts w:ascii="Arial" w:eastAsia="SimSun" w:hAnsi="Arial" w:cs="Arial"/>
          <w:color w:val="000000"/>
        </w:rPr>
        <w:t>=0.0</w:t>
      </w:r>
      <w:r w:rsidR="009B7116">
        <w:rPr>
          <w:rFonts w:ascii="Arial" w:eastAsia="SimSun" w:hAnsi="Arial" w:cs="Arial"/>
          <w:color w:val="000000"/>
        </w:rPr>
        <w:t>4</w:t>
      </w:r>
      <w:r w:rsidR="00971CE7">
        <w:rPr>
          <w:rFonts w:ascii="Arial" w:eastAsia="SimSun" w:hAnsi="Arial" w:cs="Arial"/>
          <w:color w:val="000000"/>
        </w:rPr>
        <w:t xml:space="preserve">), as </w:t>
      </w:r>
      <w:r w:rsidR="0092335E">
        <w:rPr>
          <w:rFonts w:ascii="Arial" w:eastAsia="SimSun" w:hAnsi="Arial" w:cs="Arial"/>
          <w:color w:val="000000"/>
        </w:rPr>
        <w:t xml:space="preserve">expected. </w:t>
      </w:r>
      <w:r w:rsidR="00971CE7">
        <w:rPr>
          <w:rFonts w:ascii="Arial" w:eastAsia="SimSun" w:hAnsi="Arial" w:cs="Arial"/>
          <w:color w:val="000000"/>
        </w:rPr>
        <w:t>Regardin</w:t>
      </w:r>
      <w:r w:rsidR="0092335E">
        <w:rPr>
          <w:rFonts w:ascii="Arial" w:eastAsia="SimSun" w:hAnsi="Arial" w:cs="Arial"/>
          <w:color w:val="000000"/>
        </w:rPr>
        <w:t>g</w:t>
      </w:r>
      <w:r w:rsidR="00971CE7">
        <w:rPr>
          <w:rFonts w:ascii="Arial" w:eastAsia="SimSun" w:hAnsi="Arial" w:cs="Arial"/>
          <w:color w:val="000000"/>
        </w:rPr>
        <w:t xml:space="preserve"> the metabolic changes during these events</w:t>
      </w:r>
      <w:r w:rsidR="004432E0">
        <w:rPr>
          <w:rFonts w:ascii="Arial" w:eastAsia="SimSun" w:hAnsi="Arial" w:cs="Arial"/>
          <w:color w:val="000000"/>
        </w:rPr>
        <w:t xml:space="preserve">, </w:t>
      </w:r>
      <w:r w:rsidR="00971CE7">
        <w:rPr>
          <w:rFonts w:ascii="Arial" w:eastAsia="SimSun" w:hAnsi="Arial" w:cs="Arial"/>
          <w:color w:val="000000"/>
        </w:rPr>
        <w:t xml:space="preserve">in severe </w:t>
      </w:r>
      <w:r w:rsidR="00866DA6">
        <w:rPr>
          <w:rFonts w:ascii="Arial" w:eastAsia="SimSun" w:hAnsi="Arial" w:cs="Arial"/>
          <w:color w:val="000000"/>
        </w:rPr>
        <w:t>cases</w:t>
      </w:r>
      <w:r w:rsidR="0092335E">
        <w:rPr>
          <w:rFonts w:ascii="Arial" w:eastAsia="SimSun" w:hAnsi="Arial" w:cs="Arial"/>
          <w:color w:val="000000"/>
        </w:rPr>
        <w:t xml:space="preserve"> </w:t>
      </w:r>
      <w:r w:rsidR="00866DA6">
        <w:rPr>
          <w:rFonts w:ascii="Arial" w:eastAsia="SimSun" w:hAnsi="Arial" w:cs="Arial"/>
          <w:color w:val="000000"/>
        </w:rPr>
        <w:t xml:space="preserve">of HIE </w:t>
      </w:r>
      <w:r w:rsidR="004432E0">
        <w:rPr>
          <w:rFonts w:ascii="Arial" w:eastAsia="SimSun" w:hAnsi="Arial" w:cs="Arial"/>
          <w:color w:val="000000"/>
        </w:rPr>
        <w:t xml:space="preserve">there was a </w:t>
      </w:r>
      <w:r w:rsidR="00950A56">
        <w:rPr>
          <w:rFonts w:ascii="Arial" w:eastAsia="SimSun" w:hAnsi="Arial" w:cs="Arial"/>
          <w:color w:val="000000"/>
        </w:rPr>
        <w:t>larger</w:t>
      </w:r>
      <w:r w:rsidR="004432E0">
        <w:rPr>
          <w:rFonts w:ascii="Arial" w:eastAsia="SimSun" w:hAnsi="Arial" w:cs="Arial"/>
          <w:color w:val="000000"/>
        </w:rPr>
        <w:t xml:space="preserve"> </w:t>
      </w:r>
      <w:r w:rsidR="00950A56">
        <w:rPr>
          <w:rFonts w:ascii="Arial" w:eastAsia="SimSun" w:hAnsi="Arial" w:cs="Arial"/>
          <w:color w:val="000000"/>
        </w:rPr>
        <w:t>decrease in oxCCO</w:t>
      </w:r>
      <w:r w:rsidR="00866DA6">
        <w:rPr>
          <w:rFonts w:ascii="Arial" w:eastAsia="SimSun" w:hAnsi="Arial" w:cs="Arial"/>
          <w:color w:val="000000"/>
        </w:rPr>
        <w:t xml:space="preserve"> than in moderate cases</w:t>
      </w:r>
      <w:r w:rsidR="004432E0">
        <w:rPr>
          <w:rFonts w:ascii="Arial" w:eastAsia="SimSun" w:hAnsi="Arial" w:cs="Arial"/>
          <w:color w:val="000000"/>
        </w:rPr>
        <w:t xml:space="preserve"> </w:t>
      </w:r>
      <w:r w:rsidR="009B7116">
        <w:rPr>
          <w:rFonts w:ascii="Arial" w:eastAsia="SimSun" w:hAnsi="Arial" w:cs="Arial"/>
          <w:color w:val="000000"/>
        </w:rPr>
        <w:t>(p=0.04)</w:t>
      </w:r>
      <w:r w:rsidR="0092335E">
        <w:rPr>
          <w:rFonts w:ascii="Arial" w:eastAsia="SimSun" w:hAnsi="Arial" w:cs="Arial"/>
          <w:color w:val="000000"/>
          <w:vertAlign w:val="superscript"/>
        </w:rPr>
        <w:t>5</w:t>
      </w:r>
      <w:r w:rsidR="00866DA6">
        <w:rPr>
          <w:rFonts w:ascii="Arial" w:eastAsia="SimSun" w:hAnsi="Arial" w:cs="Arial"/>
          <w:color w:val="000000"/>
        </w:rPr>
        <w:t xml:space="preserve">, </w:t>
      </w:r>
      <w:r w:rsidR="004432E0">
        <w:rPr>
          <w:rFonts w:ascii="Arial" w:eastAsia="SimSun" w:hAnsi="Arial" w:cs="Arial"/>
          <w:color w:val="000000"/>
        </w:rPr>
        <w:t>indicat</w:t>
      </w:r>
      <w:r w:rsidR="0092335E">
        <w:rPr>
          <w:rFonts w:ascii="Arial" w:eastAsia="SimSun" w:hAnsi="Arial" w:cs="Arial"/>
          <w:color w:val="000000"/>
        </w:rPr>
        <w:t>ing</w:t>
      </w:r>
      <w:r w:rsidR="004432E0">
        <w:rPr>
          <w:rFonts w:ascii="Arial" w:eastAsia="SimSun" w:hAnsi="Arial" w:cs="Arial"/>
          <w:color w:val="000000"/>
        </w:rPr>
        <w:t xml:space="preserve"> metabolic</w:t>
      </w:r>
      <w:r w:rsidR="00950A56">
        <w:rPr>
          <w:rFonts w:ascii="Arial" w:eastAsia="SimSun" w:hAnsi="Arial" w:cs="Arial"/>
          <w:color w:val="000000"/>
        </w:rPr>
        <w:t xml:space="preserve"> dysfunction</w:t>
      </w:r>
      <w:r w:rsidR="00866DA6">
        <w:rPr>
          <w:rFonts w:ascii="Arial" w:eastAsia="SimSun" w:hAnsi="Arial" w:cs="Arial"/>
          <w:color w:val="000000"/>
        </w:rPr>
        <w:t xml:space="preserve"> in severe injury</w:t>
      </w:r>
      <w:r w:rsidR="004432E0">
        <w:rPr>
          <w:rFonts w:ascii="Arial" w:eastAsia="SimSun" w:hAnsi="Arial" w:cs="Arial"/>
          <w:color w:val="000000"/>
        </w:rPr>
        <w:t xml:space="preserve">. </w:t>
      </w:r>
    </w:p>
    <w:p w:rsidR="00F312B1" w:rsidRPr="00EB6C80" w:rsidRDefault="00380801" w:rsidP="00134C39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r w:rsidRPr="00380801">
        <w:rPr>
          <w:rFonts w:ascii="Arial" w:eastAsia="SimSun" w:hAnsi="Arial" w:cs="Arial"/>
          <w:color w:val="000000"/>
          <w:u w:val="single"/>
        </w:rPr>
        <w:t>Conclusion</w:t>
      </w:r>
      <w:r>
        <w:rPr>
          <w:rFonts w:ascii="Arial" w:eastAsia="SimSun" w:hAnsi="Arial" w:cs="Arial"/>
          <w:color w:val="000000"/>
        </w:rPr>
        <w:t xml:space="preserve">: </w:t>
      </w:r>
      <w:r w:rsidR="0092335E">
        <w:rPr>
          <w:rFonts w:ascii="Arial" w:eastAsia="SimSun" w:hAnsi="Arial" w:cs="Arial"/>
          <w:color w:val="000000"/>
        </w:rPr>
        <w:t>M</w:t>
      </w:r>
      <w:r w:rsidR="00F312B1" w:rsidRPr="00F312B1">
        <w:rPr>
          <w:rFonts w:ascii="Arial" w:eastAsia="SimSun" w:hAnsi="Arial" w:cs="Arial"/>
          <w:color w:val="000000"/>
        </w:rPr>
        <w:t>onitor</w:t>
      </w:r>
      <w:r w:rsidR="0092335E">
        <w:rPr>
          <w:rFonts w:ascii="Arial" w:eastAsia="SimSun" w:hAnsi="Arial" w:cs="Arial"/>
          <w:color w:val="000000"/>
        </w:rPr>
        <w:t>ing</w:t>
      </w:r>
      <w:r w:rsidR="00F312B1" w:rsidRPr="00F312B1">
        <w:rPr>
          <w:rFonts w:ascii="Arial" w:eastAsia="SimSun" w:hAnsi="Arial" w:cs="Arial"/>
          <w:color w:val="000000"/>
        </w:rPr>
        <w:t xml:space="preserve"> </w:t>
      </w:r>
      <w:r w:rsidR="00866DA6">
        <w:rPr>
          <w:rFonts w:ascii="Arial" w:eastAsia="SimSun" w:hAnsi="Arial" w:cs="Arial"/>
          <w:color w:val="000000"/>
        </w:rPr>
        <w:t>cerebral perfusion</w:t>
      </w:r>
      <w:r w:rsidR="00F312B1" w:rsidRPr="00F312B1">
        <w:rPr>
          <w:rFonts w:ascii="Arial" w:eastAsia="SimSun" w:hAnsi="Arial" w:cs="Arial"/>
          <w:color w:val="000000"/>
        </w:rPr>
        <w:t xml:space="preserve"> and metabolism continuously </w:t>
      </w:r>
      <w:r w:rsidR="0092335E">
        <w:rPr>
          <w:rFonts w:ascii="Arial" w:eastAsia="SimSun" w:hAnsi="Arial" w:cs="Arial"/>
          <w:color w:val="000000"/>
        </w:rPr>
        <w:t>during HIE</w:t>
      </w:r>
      <w:r w:rsidR="00273432">
        <w:rPr>
          <w:rFonts w:ascii="Arial" w:eastAsia="SimSun" w:hAnsi="Arial" w:cs="Arial"/>
          <w:color w:val="000000"/>
        </w:rPr>
        <w:t xml:space="preserve"> </w:t>
      </w:r>
      <w:r w:rsidR="0092335E">
        <w:rPr>
          <w:rFonts w:ascii="Arial" w:eastAsia="SimSun" w:hAnsi="Arial" w:cs="Arial"/>
          <w:color w:val="000000"/>
        </w:rPr>
        <w:t xml:space="preserve">can </w:t>
      </w:r>
      <w:r w:rsidR="00866DA6">
        <w:rPr>
          <w:rFonts w:ascii="Arial" w:eastAsia="SimSun" w:hAnsi="Arial" w:cs="Arial"/>
          <w:color w:val="000000"/>
        </w:rPr>
        <w:t xml:space="preserve">potentially </w:t>
      </w:r>
      <w:r w:rsidR="0092335E">
        <w:rPr>
          <w:rFonts w:ascii="Arial" w:eastAsia="SimSun" w:hAnsi="Arial" w:cs="Arial"/>
          <w:color w:val="000000"/>
        </w:rPr>
        <w:t xml:space="preserve">assess injury progression and </w:t>
      </w:r>
      <w:r w:rsidR="00866DA6">
        <w:rPr>
          <w:rFonts w:ascii="Arial" w:eastAsia="SimSun" w:hAnsi="Arial" w:cs="Arial"/>
          <w:color w:val="000000"/>
        </w:rPr>
        <w:t>provide</w:t>
      </w:r>
      <w:r w:rsidR="0092335E">
        <w:rPr>
          <w:rFonts w:ascii="Arial" w:eastAsia="SimSun" w:hAnsi="Arial" w:cs="Arial"/>
          <w:color w:val="000000"/>
        </w:rPr>
        <w:t xml:space="preserve"> prognostic value</w:t>
      </w:r>
      <w:r w:rsidR="00F312B1" w:rsidRPr="00F312B1">
        <w:rPr>
          <w:rFonts w:ascii="Arial" w:eastAsia="SimSun" w:hAnsi="Arial" w:cs="Arial"/>
          <w:color w:val="000000"/>
        </w:rPr>
        <w:t>.</w:t>
      </w:r>
      <w:bookmarkStart w:id="0" w:name="_GoBack"/>
      <w:bookmarkEnd w:id="0"/>
    </w:p>
    <w:p w:rsidR="009E1E37" w:rsidRPr="00E25DC6" w:rsidRDefault="0092335E" w:rsidP="00E25DC6">
      <w:pPr>
        <w:jc w:val="center"/>
        <w:rPr>
          <w:rFonts w:ascii="Arial" w:hAnsi="Arial" w:cs="Arial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7A40C" wp14:editId="1B2D10D7">
                <wp:simplePos x="0" y="0"/>
                <wp:positionH relativeFrom="column">
                  <wp:posOffset>4191284</wp:posOffset>
                </wp:positionH>
                <wp:positionV relativeFrom="paragraph">
                  <wp:posOffset>1499074</wp:posOffset>
                </wp:positionV>
                <wp:extent cx="2040940" cy="5340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0" cy="5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116" w:rsidRPr="009B7116" w:rsidRDefault="009B7116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B7116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Table 1: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Number of babies and events per day of life.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07A40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0pt;margin-top:118.05pt;width:160.7pt;height:4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" fillcolor="white [3201]" stroked="f" strokeweight=".5pt">
                <v:textbox>
                  <w:txbxContent>
                    <w:p w:rsidR="009B7116" w:rsidRPr="009B7116" w:rsidRDefault="009B7116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 w:rsidRPr="009B7116">
                        <w:rPr>
                          <w:rFonts w:ascii="Arial" w:hAnsi="Arial" w:cs="Arial"/>
                          <w:b/>
                          <w:sz w:val="22"/>
                        </w:rPr>
                        <w:t xml:space="preserve">Table 1: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Number of babies and events per day of life.</w:t>
                      </w:r>
                    </w:p>
                  </w:txbxContent>
                </v:textbox>
              </v:shape>
            </w:pict>
          </mc:Fallback>
        </mc:AlternateContent>
      </w:r>
      <w:r w:rsidR="00FE1598" w:rsidRPr="009E1E37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42A951D" wp14:editId="00A76D61">
            <wp:simplePos x="0" y="0"/>
            <wp:positionH relativeFrom="column">
              <wp:posOffset>4193844</wp:posOffset>
            </wp:positionH>
            <wp:positionV relativeFrom="paragraph">
              <wp:posOffset>650875</wp:posOffset>
            </wp:positionV>
            <wp:extent cx="2047875" cy="82423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801">
        <w:rPr>
          <w:rFonts w:ascii="Arial" w:hAnsi="Arial" w:cs="Arial"/>
          <w:noProof/>
          <w:lang w:val="en-GB" w:eastAsia="en-GB"/>
        </w:rPr>
        <w:drawing>
          <wp:inline distT="0" distB="0" distL="0" distR="0">
            <wp:extent cx="4381662" cy="2477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F v day per baby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6" t="2366" b="2985"/>
                    <a:stretch/>
                  </pic:blipFill>
                  <pic:spPr bwMode="auto">
                    <a:xfrm>
                      <a:off x="0" y="0"/>
                      <a:ext cx="4534128" cy="2563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09A" w:rsidRPr="0066109A" w:rsidRDefault="0066109A" w:rsidP="0066109A">
      <w:pPr>
        <w:rPr>
          <w:rFonts w:ascii="Arial" w:hAnsi="Arial" w:cs="Arial"/>
          <w:sz w:val="22"/>
        </w:rPr>
      </w:pPr>
      <w:r w:rsidRPr="00126B48">
        <w:rPr>
          <w:rFonts w:ascii="Arial" w:hAnsi="Arial" w:cs="Arial"/>
          <w:b/>
          <w:sz w:val="22"/>
        </w:rPr>
        <w:t>Figure 1:</w:t>
      </w:r>
      <w:r w:rsidR="009B7116">
        <w:rPr>
          <w:rFonts w:ascii="Arial" w:hAnsi="Arial" w:cs="Arial"/>
          <w:sz w:val="22"/>
        </w:rPr>
        <w:t xml:space="preserve"> Average </w:t>
      </w:r>
      <w:r w:rsidR="00126B48" w:rsidRPr="00126B48">
        <w:rPr>
          <w:rFonts w:ascii="Arial" w:hAnsi="Arial" w:cs="Arial"/>
          <w:sz w:val="22"/>
        </w:rPr>
        <w:t xml:space="preserve">CBF by </w:t>
      </w:r>
      <w:r w:rsidR="009B7116">
        <w:rPr>
          <w:rFonts w:ascii="Arial" w:hAnsi="Arial" w:cs="Arial"/>
          <w:sz w:val="22"/>
        </w:rPr>
        <w:t>day</w:t>
      </w:r>
      <w:r w:rsidR="00126B48" w:rsidRPr="00126B48">
        <w:rPr>
          <w:rFonts w:ascii="Arial" w:hAnsi="Arial" w:cs="Arial"/>
          <w:sz w:val="22"/>
        </w:rPr>
        <w:t xml:space="preserve"> </w:t>
      </w:r>
      <w:r w:rsidR="009B7116">
        <w:rPr>
          <w:rFonts w:ascii="Arial" w:hAnsi="Arial" w:cs="Arial"/>
          <w:sz w:val="22"/>
        </w:rPr>
        <w:t>of life</w:t>
      </w:r>
      <w:r w:rsidR="00126B48">
        <w:rPr>
          <w:rFonts w:ascii="Arial" w:hAnsi="Arial" w:cs="Arial"/>
          <w:sz w:val="22"/>
        </w:rPr>
        <w:t xml:space="preserve"> grouped by injury severity</w:t>
      </w:r>
      <w:r w:rsidR="00126B48" w:rsidRPr="00126B48">
        <w:rPr>
          <w:rFonts w:ascii="Arial" w:hAnsi="Arial" w:cs="Arial"/>
          <w:sz w:val="22"/>
        </w:rPr>
        <w:t xml:space="preserve">. </w:t>
      </w:r>
      <w:r w:rsidR="0092335E">
        <w:rPr>
          <w:rFonts w:ascii="Arial" w:hAnsi="Arial" w:cs="Arial"/>
          <w:sz w:val="22"/>
        </w:rPr>
        <w:t>E</w:t>
      </w:r>
      <w:r w:rsidR="009B7116">
        <w:rPr>
          <w:rFonts w:ascii="Arial" w:hAnsi="Arial" w:cs="Arial"/>
          <w:sz w:val="22"/>
        </w:rPr>
        <w:t>rror bars show standard error</w:t>
      </w:r>
      <w:r w:rsidR="00126B48">
        <w:rPr>
          <w:rFonts w:ascii="Arial" w:hAnsi="Arial" w:cs="Arial"/>
          <w:sz w:val="22"/>
        </w:rPr>
        <w:t xml:space="preserve"> and asterisks denote significant difference between the groups</w:t>
      </w:r>
      <w:r w:rsidR="000177BC">
        <w:rPr>
          <w:rFonts w:ascii="Arial" w:hAnsi="Arial" w:cs="Arial"/>
          <w:sz w:val="22"/>
        </w:rPr>
        <w:t xml:space="preserve"> (p&lt;0.05)</w:t>
      </w:r>
      <w:r w:rsidR="00126B48" w:rsidRPr="00126B48">
        <w:rPr>
          <w:rFonts w:ascii="Arial" w:hAnsi="Arial" w:cs="Arial"/>
          <w:sz w:val="22"/>
        </w:rPr>
        <w:t>.</w:t>
      </w:r>
      <w:r w:rsidR="00B83790">
        <w:rPr>
          <w:rFonts w:ascii="Arial" w:hAnsi="Arial" w:cs="Arial"/>
          <w:sz w:val="22"/>
        </w:rPr>
        <w:t xml:space="preserve"> </w:t>
      </w:r>
    </w:p>
    <w:p w:rsidR="00FE1598" w:rsidRPr="0092335E" w:rsidRDefault="0066109A" w:rsidP="0092335E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92335E">
        <w:rPr>
          <w:rFonts w:ascii="Arial" w:hAnsi="Arial" w:cs="Arial"/>
          <w:b/>
          <w:sz w:val="18"/>
          <w:szCs w:val="18"/>
        </w:rPr>
        <w:t>References:</w:t>
      </w:r>
      <w:r w:rsidRPr="0092335E">
        <w:rPr>
          <w:rFonts w:ascii="Arial" w:hAnsi="Arial" w:cs="Arial"/>
          <w:sz w:val="18"/>
          <w:szCs w:val="18"/>
        </w:rPr>
        <w:t xml:space="preserve"> </w:t>
      </w:r>
      <w:r w:rsidR="0092335E">
        <w:rPr>
          <w:rFonts w:ascii="Arial" w:hAnsi="Arial" w:cs="Arial"/>
          <w:sz w:val="18"/>
          <w:szCs w:val="18"/>
        </w:rPr>
        <w:t>1</w:t>
      </w:r>
      <w:r w:rsidR="00950A56" w:rsidRPr="0092335E">
        <w:rPr>
          <w:rFonts w:ascii="Arial" w:hAnsi="Arial" w:cs="Arial"/>
          <w:sz w:val="18"/>
          <w:szCs w:val="18"/>
        </w:rPr>
        <w:t>. Hassell (2015) Arch Dis Child Fetal Neonatal Ed</w:t>
      </w:r>
      <w:r w:rsidR="0092335E">
        <w:rPr>
          <w:rFonts w:ascii="Arial" w:hAnsi="Arial" w:cs="Arial"/>
          <w:sz w:val="18"/>
          <w:szCs w:val="18"/>
        </w:rPr>
        <w:t>,</w:t>
      </w:r>
      <w:r w:rsidR="0092335E" w:rsidRPr="0092335E">
        <w:rPr>
          <w:rFonts w:ascii="Arial" w:hAnsi="Arial" w:cs="Arial"/>
          <w:sz w:val="18"/>
          <w:szCs w:val="18"/>
        </w:rPr>
        <w:t xml:space="preserve"> </w:t>
      </w:r>
      <w:r w:rsidR="0092335E">
        <w:rPr>
          <w:rFonts w:ascii="Arial" w:hAnsi="Arial" w:cs="Arial"/>
          <w:sz w:val="18"/>
          <w:szCs w:val="18"/>
        </w:rPr>
        <w:t>2</w:t>
      </w:r>
      <w:r w:rsidR="00FE1598" w:rsidRPr="0092335E">
        <w:rPr>
          <w:rFonts w:ascii="Arial" w:hAnsi="Arial" w:cs="Arial"/>
          <w:sz w:val="18"/>
          <w:szCs w:val="18"/>
        </w:rPr>
        <w:t>. Dehaes (2014) J Cerebr Blood Flow Metab</w:t>
      </w:r>
      <w:r w:rsidR="0092335E">
        <w:rPr>
          <w:rFonts w:ascii="Arial" w:hAnsi="Arial" w:cs="Arial"/>
          <w:sz w:val="18"/>
          <w:szCs w:val="18"/>
        </w:rPr>
        <w:t>, 3</w:t>
      </w:r>
      <w:r w:rsidR="0092335E" w:rsidRPr="0092335E">
        <w:rPr>
          <w:rFonts w:ascii="Arial" w:hAnsi="Arial" w:cs="Arial"/>
          <w:sz w:val="18"/>
          <w:szCs w:val="18"/>
        </w:rPr>
        <w:t>. Bale (2014) Biomed Opt Exp</w:t>
      </w:r>
      <w:r w:rsidR="0092335E">
        <w:rPr>
          <w:rFonts w:ascii="Arial" w:hAnsi="Arial" w:cs="Arial"/>
          <w:sz w:val="18"/>
          <w:szCs w:val="18"/>
        </w:rPr>
        <w:t>,</w:t>
      </w:r>
      <w:r w:rsidR="0092335E" w:rsidRPr="0092335E">
        <w:rPr>
          <w:rFonts w:ascii="Arial" w:hAnsi="Arial" w:cs="Arial"/>
          <w:sz w:val="18"/>
          <w:szCs w:val="18"/>
        </w:rPr>
        <w:t xml:space="preserve"> </w:t>
      </w:r>
      <w:r w:rsidR="0092335E">
        <w:rPr>
          <w:rFonts w:ascii="Arial" w:hAnsi="Arial" w:cs="Arial"/>
          <w:sz w:val="18"/>
          <w:szCs w:val="18"/>
        </w:rPr>
        <w:t>4</w:t>
      </w:r>
      <w:r w:rsidR="0092335E" w:rsidRPr="0092335E">
        <w:rPr>
          <w:rFonts w:ascii="Arial" w:hAnsi="Arial" w:cs="Arial"/>
          <w:sz w:val="18"/>
          <w:szCs w:val="18"/>
        </w:rPr>
        <w:t>. Elwell et al. Adv Exp Med Biol</w:t>
      </w:r>
      <w:r w:rsidR="0092335E">
        <w:rPr>
          <w:rFonts w:ascii="Arial" w:hAnsi="Arial" w:cs="Arial"/>
          <w:sz w:val="18"/>
          <w:szCs w:val="18"/>
        </w:rPr>
        <w:t>,</w:t>
      </w:r>
      <w:r w:rsidR="0092335E" w:rsidRPr="0092335E">
        <w:rPr>
          <w:rFonts w:ascii="Arial" w:hAnsi="Arial" w:cs="Arial"/>
          <w:sz w:val="18"/>
          <w:szCs w:val="18"/>
        </w:rPr>
        <w:t xml:space="preserve"> </w:t>
      </w:r>
      <w:r w:rsidR="0092335E">
        <w:rPr>
          <w:rFonts w:ascii="Arial" w:hAnsi="Arial" w:cs="Arial"/>
          <w:sz w:val="18"/>
          <w:szCs w:val="18"/>
        </w:rPr>
        <w:t xml:space="preserve">5. Bale (in press) </w:t>
      </w:r>
      <w:r w:rsidR="0092335E" w:rsidRPr="0092335E">
        <w:rPr>
          <w:rFonts w:ascii="Arial" w:hAnsi="Arial" w:cs="Arial"/>
          <w:sz w:val="18"/>
          <w:szCs w:val="18"/>
        </w:rPr>
        <w:t>J Cerebr Blood Flow Metab</w:t>
      </w:r>
    </w:p>
    <w:p w:rsidR="00D84360" w:rsidRDefault="00514F29" w:rsidP="004767E4">
      <w:pPr>
        <w:tabs>
          <w:tab w:val="left" w:pos="1418"/>
          <w:tab w:val="left" w:pos="4536"/>
        </w:tabs>
        <w:rPr>
          <w:sz w:val="22"/>
          <w:szCs w:val="22"/>
        </w:rPr>
      </w:pPr>
      <w:r>
        <w:rPr>
          <w:rFonts w:ascii="Arial" w:hAnsi="Arial" w:cs="Arial"/>
        </w:rPr>
        <w:lastRenderedPageBreak/>
        <w:t>I prefer:</w:t>
      </w:r>
      <w:r w:rsidR="00D84360">
        <w:rPr>
          <w:rFonts w:ascii="Arial" w:hAnsi="Arial" w:cs="Arial"/>
        </w:rPr>
        <w:tab/>
      </w:r>
      <w:r w:rsidR="0022452E">
        <w:rPr>
          <w:rFonts w:ascii="Arial" w:hAnsi="Arial" w:cs="Arial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8pt;height:19.35pt" o:ole="">
            <v:imagedata r:id="rId10" o:title=""/>
          </v:shape>
          <w:control r:id="rId11" w:name="OptionButton1" w:shapeid="_x0000_i1029"/>
        </w:object>
      </w:r>
      <w:r w:rsidR="00D84360">
        <w:rPr>
          <w:rFonts w:ascii="Arial" w:hAnsi="Arial" w:cs="Arial"/>
        </w:rPr>
        <w:tab/>
      </w:r>
      <w:r w:rsidR="0022452E">
        <w:rPr>
          <w:rFonts w:ascii="Arial" w:hAnsi="Arial" w:cs="Arial"/>
        </w:rPr>
        <w:object w:dxaOrig="225" w:dyaOrig="225">
          <v:shape id="_x0000_i1031" type="#_x0000_t75" style="width:148.3pt;height:19.35pt" o:ole="">
            <v:imagedata r:id="rId12" o:title=""/>
          </v:shape>
          <w:control r:id="rId13" w:name="OptionButton2" w:shapeid="_x0000_i1031"/>
        </w:object>
      </w:r>
    </w:p>
    <w:sectPr w:rsidR="00D84360" w:rsidSect="008727B8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8EE" w:rsidRDefault="004D18EE" w:rsidP="004D18EE">
      <w:pPr>
        <w:spacing w:after="0" w:line="240" w:lineRule="auto"/>
      </w:pPr>
      <w:r>
        <w:separator/>
      </w:r>
    </w:p>
  </w:endnote>
  <w:endnote w:type="continuationSeparator" w:id="0">
    <w:p w:rsidR="004D18EE" w:rsidRDefault="004D18EE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8EE" w:rsidRDefault="004D18EE" w:rsidP="004D18EE">
      <w:pPr>
        <w:spacing w:after="0" w:line="240" w:lineRule="auto"/>
      </w:pPr>
      <w:r>
        <w:separator/>
      </w:r>
    </w:p>
  </w:footnote>
  <w:footnote w:type="continuationSeparator" w:id="0">
    <w:p w:rsidR="004D18EE" w:rsidRDefault="004D18EE" w:rsidP="004D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228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CCA"/>
    <w:rsid w:val="000177BC"/>
    <w:rsid w:val="000214CB"/>
    <w:rsid w:val="00042078"/>
    <w:rsid w:val="000B0BE9"/>
    <w:rsid w:val="00103CE4"/>
    <w:rsid w:val="001248EF"/>
    <w:rsid w:val="00126B48"/>
    <w:rsid w:val="00134C39"/>
    <w:rsid w:val="00182D5C"/>
    <w:rsid w:val="001E5599"/>
    <w:rsid w:val="0022452E"/>
    <w:rsid w:val="00226BCA"/>
    <w:rsid w:val="0024149F"/>
    <w:rsid w:val="0026095E"/>
    <w:rsid w:val="00273432"/>
    <w:rsid w:val="002761FE"/>
    <w:rsid w:val="00282746"/>
    <w:rsid w:val="002C3083"/>
    <w:rsid w:val="002E066B"/>
    <w:rsid w:val="00304608"/>
    <w:rsid w:val="00380801"/>
    <w:rsid w:val="004432E0"/>
    <w:rsid w:val="004767E4"/>
    <w:rsid w:val="004A6398"/>
    <w:rsid w:val="004D18EE"/>
    <w:rsid w:val="004E6648"/>
    <w:rsid w:val="00514F29"/>
    <w:rsid w:val="00536063"/>
    <w:rsid w:val="00555A7D"/>
    <w:rsid w:val="0057788E"/>
    <w:rsid w:val="005C3AD0"/>
    <w:rsid w:val="005F5FB8"/>
    <w:rsid w:val="00603879"/>
    <w:rsid w:val="006533FC"/>
    <w:rsid w:val="00653440"/>
    <w:rsid w:val="0066109A"/>
    <w:rsid w:val="00682B60"/>
    <w:rsid w:val="00685C5F"/>
    <w:rsid w:val="006E51B7"/>
    <w:rsid w:val="006F031C"/>
    <w:rsid w:val="007109F1"/>
    <w:rsid w:val="00750E77"/>
    <w:rsid w:val="00793262"/>
    <w:rsid w:val="00812CCA"/>
    <w:rsid w:val="00856AA7"/>
    <w:rsid w:val="00866DA6"/>
    <w:rsid w:val="008727B8"/>
    <w:rsid w:val="008C0A91"/>
    <w:rsid w:val="008F1F76"/>
    <w:rsid w:val="0092335E"/>
    <w:rsid w:val="009465E3"/>
    <w:rsid w:val="00950A56"/>
    <w:rsid w:val="00971CE7"/>
    <w:rsid w:val="009748F1"/>
    <w:rsid w:val="00982617"/>
    <w:rsid w:val="009B7116"/>
    <w:rsid w:val="009E1E37"/>
    <w:rsid w:val="00A478D2"/>
    <w:rsid w:val="00A50945"/>
    <w:rsid w:val="00A86019"/>
    <w:rsid w:val="00AE00E0"/>
    <w:rsid w:val="00B77F3F"/>
    <w:rsid w:val="00B83790"/>
    <w:rsid w:val="00B920D5"/>
    <w:rsid w:val="00C16EBB"/>
    <w:rsid w:val="00C4265A"/>
    <w:rsid w:val="00C43FF3"/>
    <w:rsid w:val="00CB5844"/>
    <w:rsid w:val="00CF347E"/>
    <w:rsid w:val="00D301FC"/>
    <w:rsid w:val="00D72A09"/>
    <w:rsid w:val="00D84360"/>
    <w:rsid w:val="00DA1FFD"/>
    <w:rsid w:val="00E2366C"/>
    <w:rsid w:val="00E25DC6"/>
    <w:rsid w:val="00E946D5"/>
    <w:rsid w:val="00F312B1"/>
    <w:rsid w:val="00F7608F"/>
    <w:rsid w:val="00FE1598"/>
    <w:rsid w:val="00FF67D0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41F4DCE"/>
  <w15:docId w15:val="{7B2A66B2-556D-41ED-94FE-DDC8996A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8C0A9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4D18EE"/>
    <w:rPr>
      <w:rFonts w:eastAsia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4D18EE"/>
    <w:rPr>
      <w:rFonts w:eastAsia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ontrol" Target="activeX/activeX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ITÖ/ETHZ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Stephanie</dc:creator>
  <cp:lastModifiedBy>Gemma Bale</cp:lastModifiedBy>
  <cp:revision>15</cp:revision>
  <cp:lastPrinted>2012-03-06T08:56:00Z</cp:lastPrinted>
  <dcterms:created xsi:type="dcterms:W3CDTF">2018-03-26T10:10:00Z</dcterms:created>
  <dcterms:modified xsi:type="dcterms:W3CDTF">2018-04-11T14:26:00Z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