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063" w:rsidRDefault="00916682" w:rsidP="00D2542D">
      <w:pPr>
        <w:shd w:val="clear" w:color="auto" w:fill="FFFFFF"/>
        <w:spacing w:after="225" w:line="270" w:lineRule="atLeast"/>
        <w:jc w:val="center"/>
        <w:rPr>
          <w:rFonts w:ascii="Arial" w:eastAsia="SimSun" w:hAnsi="Arial" w:cs="Arial"/>
          <w:b/>
          <w:bCs/>
          <w:color w:val="000000"/>
          <w:sz w:val="28"/>
          <w:szCs w:val="28"/>
        </w:rPr>
      </w:pPr>
      <w:r w:rsidRPr="00916682">
        <w:rPr>
          <w:rFonts w:ascii="Arial" w:eastAsia="SimSun" w:hAnsi="Arial" w:cs="Arial"/>
          <w:b/>
          <w:bCs/>
          <w:color w:val="000000"/>
          <w:sz w:val="28"/>
          <w:szCs w:val="28"/>
        </w:rPr>
        <w:t>3D multiphoton autofluorescence imaging of fixed tissues: feasibility and potential values for biomedical applications</w:t>
      </w:r>
    </w:p>
    <w:p w:rsidR="00536063" w:rsidRDefault="00536063">
      <w:pPr>
        <w:rPr>
          <w:rFonts w:ascii="Arial" w:hAnsi="Arial" w:cs="Arial"/>
        </w:rPr>
      </w:pPr>
    </w:p>
    <w:p w:rsidR="00536063" w:rsidRDefault="00916682">
      <w:pPr>
        <w:jc w:val="center"/>
        <w:rPr>
          <w:rFonts w:ascii="Arial" w:hAnsi="Arial" w:cs="Arial"/>
        </w:rPr>
      </w:pPr>
      <w:r w:rsidRPr="00916682">
        <w:rPr>
          <w:rFonts w:ascii="Arial" w:hAnsi="Arial" w:cs="Arial"/>
          <w:b/>
        </w:rPr>
        <w:t>Lin Z. Li</w:t>
      </w:r>
      <w:r w:rsidRPr="00916682">
        <w:rPr>
          <w:rFonts w:ascii="Arial" w:hAnsi="Arial" w:cs="Arial"/>
          <w:vertAlign w:val="superscript"/>
        </w:rPr>
        <w:t>a,d,e</w:t>
      </w:r>
      <w:r w:rsidRPr="00916682">
        <w:rPr>
          <w:rFonts w:ascii="Arial" w:hAnsi="Arial" w:cs="Arial"/>
        </w:rPr>
        <w:t>,*, Marissa Masek</w:t>
      </w:r>
      <w:r w:rsidRPr="00916682">
        <w:rPr>
          <w:rFonts w:ascii="Arial" w:hAnsi="Arial" w:cs="Arial"/>
          <w:vertAlign w:val="superscript"/>
        </w:rPr>
        <w:t>b</w:t>
      </w:r>
      <w:r w:rsidRPr="00916682">
        <w:rPr>
          <w:rFonts w:ascii="Arial" w:hAnsi="Arial" w:cs="Arial"/>
        </w:rPr>
        <w:t>, Ting Wang</w:t>
      </w:r>
      <w:r w:rsidRPr="00916682">
        <w:rPr>
          <w:rFonts w:ascii="Arial" w:hAnsi="Arial" w:cs="Arial"/>
          <w:vertAlign w:val="superscript"/>
        </w:rPr>
        <w:t>a</w:t>
      </w:r>
      <w:r w:rsidRPr="00916682">
        <w:rPr>
          <w:rFonts w:ascii="Arial" w:hAnsi="Arial" w:cs="Arial"/>
        </w:rPr>
        <w:t>, He N. Xu</w:t>
      </w:r>
      <w:r w:rsidRPr="00916682">
        <w:rPr>
          <w:rFonts w:ascii="Arial" w:hAnsi="Arial" w:cs="Arial"/>
          <w:vertAlign w:val="superscript"/>
        </w:rPr>
        <w:t>a</w:t>
      </w:r>
      <w:r w:rsidRPr="00916682">
        <w:rPr>
          <w:rFonts w:ascii="Arial" w:hAnsi="Arial" w:cs="Arial"/>
        </w:rPr>
        <w:t>, Lily Moon</w:t>
      </w:r>
      <w:r w:rsidRPr="00916682">
        <w:rPr>
          <w:rFonts w:ascii="Arial" w:hAnsi="Arial" w:cs="Arial"/>
          <w:vertAlign w:val="superscript"/>
        </w:rPr>
        <w:t>a</w:t>
      </w:r>
      <w:r w:rsidRPr="00916682">
        <w:rPr>
          <w:rFonts w:ascii="Arial" w:hAnsi="Arial" w:cs="Arial"/>
        </w:rPr>
        <w:t>, Min Feng</w:t>
      </w:r>
      <w:r w:rsidRPr="00916682">
        <w:rPr>
          <w:rFonts w:ascii="Arial" w:hAnsi="Arial" w:cs="Arial"/>
          <w:vertAlign w:val="superscript"/>
        </w:rPr>
        <w:t>a</w:t>
      </w:r>
      <w:r w:rsidRPr="00916682">
        <w:rPr>
          <w:rFonts w:ascii="Arial" w:hAnsi="Arial" w:cs="Arial"/>
        </w:rPr>
        <w:t>, Karthikeyani Chellappa</w:t>
      </w:r>
      <w:r w:rsidRPr="00916682">
        <w:rPr>
          <w:rFonts w:ascii="Arial" w:hAnsi="Arial" w:cs="Arial"/>
          <w:vertAlign w:val="superscript"/>
        </w:rPr>
        <w:t>c</w:t>
      </w:r>
      <w:r w:rsidRPr="00916682">
        <w:rPr>
          <w:rFonts w:ascii="Arial" w:hAnsi="Arial" w:cs="Arial"/>
        </w:rPr>
        <w:t>, Shoko Nioka</w:t>
      </w:r>
      <w:r w:rsidRPr="00916682">
        <w:rPr>
          <w:rFonts w:ascii="Arial" w:hAnsi="Arial" w:cs="Arial"/>
          <w:vertAlign w:val="superscript"/>
        </w:rPr>
        <w:t>a</w:t>
      </w:r>
      <w:r w:rsidRPr="00916682">
        <w:rPr>
          <w:rFonts w:ascii="Arial" w:hAnsi="Arial" w:cs="Arial"/>
        </w:rPr>
        <w:t>, Joseph A. Baur</w:t>
      </w:r>
      <w:r w:rsidRPr="00916682">
        <w:rPr>
          <w:rFonts w:ascii="Arial" w:hAnsi="Arial" w:cs="Arial"/>
          <w:vertAlign w:val="superscript"/>
        </w:rPr>
        <w:t>c</w:t>
      </w:r>
      <w:r w:rsidRPr="00916682">
        <w:rPr>
          <w:rFonts w:ascii="Arial" w:hAnsi="Arial" w:cs="Arial"/>
        </w:rPr>
        <w:t>, Timothy M. Ragan</w:t>
      </w:r>
      <w:r w:rsidRPr="00916682">
        <w:rPr>
          <w:rFonts w:ascii="Arial" w:hAnsi="Arial" w:cs="Arial"/>
          <w:vertAlign w:val="superscript"/>
        </w:rPr>
        <w:t>b*</w:t>
      </w:r>
    </w:p>
    <w:p w:rsidR="00536063" w:rsidRPr="009748F1" w:rsidRDefault="00536063">
      <w:pPr>
        <w:ind w:left="720"/>
        <w:rPr>
          <w:rFonts w:ascii="Arial" w:hAnsi="Arial" w:cs="Arial"/>
          <w:sz w:val="20"/>
          <w:szCs w:val="20"/>
        </w:rPr>
      </w:pPr>
    </w:p>
    <w:p w:rsidR="00916682" w:rsidRPr="00916682" w:rsidRDefault="00136A37" w:rsidP="00916682">
      <w:pPr>
        <w:spacing w:after="0" w:line="240" w:lineRule="auto"/>
        <w:jc w:val="center"/>
        <w:rPr>
          <w:rFonts w:ascii="Arial" w:hAnsi="Arial" w:cs="Arial"/>
          <w:i/>
        </w:rPr>
      </w:pPr>
      <w:r>
        <w:rPr>
          <w:rFonts w:ascii="Arial" w:eastAsia="SimSun" w:hAnsi="Arial" w:cs="Arial" w:hint="eastAsia"/>
          <w:i/>
          <w:vertAlign w:val="superscript"/>
        </w:rPr>
        <w:t>a</w:t>
      </w:r>
      <w:r w:rsidR="00916682" w:rsidRPr="00916682">
        <w:rPr>
          <w:rFonts w:ascii="Arial" w:hAnsi="Arial" w:cs="Arial"/>
          <w:i/>
        </w:rPr>
        <w:t>Department of Radiology &amp; Britton Chance Laboratory of Redox Imaging, Johnson Research Foundation, Perelman School of Medicine, University of Pennsylvania, Philadelphia, PA, USA</w:t>
      </w:r>
    </w:p>
    <w:p w:rsidR="00916682" w:rsidRPr="00916682" w:rsidRDefault="00916682" w:rsidP="00916682">
      <w:pPr>
        <w:spacing w:after="0" w:line="240" w:lineRule="auto"/>
        <w:jc w:val="center"/>
        <w:rPr>
          <w:rFonts w:ascii="Arial" w:hAnsi="Arial" w:cs="Arial"/>
          <w:i/>
        </w:rPr>
      </w:pPr>
      <w:r w:rsidRPr="00916682">
        <w:rPr>
          <w:rFonts w:ascii="Arial" w:hAnsi="Arial" w:cs="Arial"/>
          <w:i/>
          <w:vertAlign w:val="superscript"/>
        </w:rPr>
        <w:t>b</w:t>
      </w:r>
      <w:r w:rsidRPr="00916682">
        <w:rPr>
          <w:rFonts w:ascii="Arial" w:hAnsi="Arial" w:cs="Arial"/>
          <w:i/>
        </w:rPr>
        <w:t>TissueVision, Inc., Boston, MA, USA</w:t>
      </w:r>
    </w:p>
    <w:p w:rsidR="00916682" w:rsidRPr="00916682" w:rsidRDefault="00916682" w:rsidP="00916682">
      <w:pPr>
        <w:spacing w:after="0" w:line="240" w:lineRule="auto"/>
        <w:jc w:val="center"/>
        <w:rPr>
          <w:rFonts w:ascii="Arial" w:hAnsi="Arial" w:cs="Arial"/>
          <w:i/>
        </w:rPr>
      </w:pPr>
      <w:r w:rsidRPr="00916682">
        <w:rPr>
          <w:rFonts w:ascii="Arial" w:hAnsi="Arial" w:cs="Arial"/>
          <w:i/>
          <w:vertAlign w:val="superscript"/>
        </w:rPr>
        <w:t>c</w:t>
      </w:r>
      <w:r w:rsidRPr="00916682">
        <w:rPr>
          <w:rFonts w:ascii="Arial" w:hAnsi="Arial" w:cs="Arial"/>
          <w:i/>
        </w:rPr>
        <w:t>Department of Physiology, Institute for Di</w:t>
      </w:r>
      <w:r w:rsidR="00136A37">
        <w:rPr>
          <w:rFonts w:ascii="Arial" w:hAnsi="Arial" w:cs="Arial"/>
          <w:i/>
        </w:rPr>
        <w:t>abetes, Obesity and Metabolism,</w:t>
      </w:r>
    </w:p>
    <w:p w:rsidR="00136A37" w:rsidRDefault="00916682" w:rsidP="00136A37">
      <w:pPr>
        <w:spacing w:after="0" w:line="240" w:lineRule="auto"/>
        <w:jc w:val="center"/>
        <w:rPr>
          <w:rFonts w:ascii="Arial" w:hAnsi="Arial" w:cs="Arial"/>
          <w:i/>
        </w:rPr>
      </w:pPr>
      <w:r w:rsidRPr="00916682">
        <w:rPr>
          <w:rFonts w:ascii="Arial" w:hAnsi="Arial" w:cs="Arial"/>
          <w:i/>
          <w:vertAlign w:val="superscript"/>
        </w:rPr>
        <w:t>d</w:t>
      </w:r>
      <w:r w:rsidRPr="00916682">
        <w:rPr>
          <w:rFonts w:ascii="Arial" w:hAnsi="Arial" w:cs="Arial"/>
          <w:i/>
        </w:rPr>
        <w:t xml:space="preserve">Abramson Cancer Center, </w:t>
      </w:r>
      <w:r w:rsidRPr="00136A37">
        <w:rPr>
          <w:rFonts w:ascii="Arial" w:hAnsi="Arial" w:cs="Arial"/>
          <w:i/>
          <w:vertAlign w:val="superscript"/>
        </w:rPr>
        <w:t>e</w:t>
      </w:r>
      <w:r w:rsidRPr="00916682">
        <w:rPr>
          <w:rFonts w:ascii="Arial" w:hAnsi="Arial" w:cs="Arial"/>
          <w:i/>
        </w:rPr>
        <w:t>Institute of Translational Medicine and Therapeutics, Perelman School of Medicine, University of Pennsylvania, Philadelphia, PA, USA</w:t>
      </w:r>
    </w:p>
    <w:p w:rsidR="00536063" w:rsidRDefault="00536063">
      <w:pPr>
        <w:spacing w:after="0" w:line="240" w:lineRule="auto"/>
        <w:jc w:val="center"/>
        <w:rPr>
          <w:rFonts w:ascii="Arial" w:hAnsi="Arial" w:cs="Arial"/>
          <w:i/>
        </w:rPr>
      </w:pPr>
    </w:p>
    <w:p w:rsidR="00536063" w:rsidRDefault="00536063">
      <w:pPr>
        <w:spacing w:after="0" w:line="240" w:lineRule="auto"/>
        <w:jc w:val="center"/>
        <w:rPr>
          <w:rFonts w:ascii="Arial" w:hAnsi="Arial" w:cs="Arial"/>
          <w:i/>
        </w:rPr>
      </w:pPr>
    </w:p>
    <w:p w:rsidR="00536063" w:rsidRDefault="00D2542D">
      <w:pPr>
        <w:spacing w:after="0" w:line="240" w:lineRule="auto"/>
        <w:jc w:val="center"/>
        <w:rPr>
          <w:rFonts w:ascii="Arial" w:hAnsi="Arial" w:cs="Arial"/>
          <w:i/>
        </w:rPr>
      </w:pPr>
      <w:r>
        <w:rPr>
          <w:rFonts w:ascii="Arial" w:hAnsi="Arial" w:cs="Arial"/>
          <w:i/>
        </w:rPr>
        <w:t>*</w:t>
      </w:r>
      <w:r w:rsidR="00A86019">
        <w:rPr>
          <w:rFonts w:ascii="Arial" w:hAnsi="Arial" w:cs="Arial"/>
          <w:i/>
        </w:rPr>
        <w:t xml:space="preserve">Corresponding </w:t>
      </w:r>
      <w:r w:rsidR="00A86019">
        <w:rPr>
          <w:rFonts w:ascii="Arial" w:hAnsi="Arial" w:cs="Arial" w:hint="eastAsia"/>
          <w:i/>
        </w:rPr>
        <w:t>a</w:t>
      </w:r>
      <w:r w:rsidR="00A86019">
        <w:rPr>
          <w:rFonts w:ascii="Arial" w:hAnsi="Arial" w:cs="Arial"/>
          <w:i/>
        </w:rPr>
        <w:t>uthor e-mail address</w:t>
      </w:r>
      <w:r>
        <w:rPr>
          <w:rFonts w:ascii="Arial" w:hAnsi="Arial" w:cs="Arial"/>
          <w:i/>
        </w:rPr>
        <w:t>es</w:t>
      </w:r>
      <w:r w:rsidR="00A86019">
        <w:rPr>
          <w:rFonts w:ascii="Arial" w:hAnsi="Arial" w:cs="Arial"/>
          <w:i/>
        </w:rPr>
        <w:t xml:space="preserve">: </w:t>
      </w:r>
      <w:r>
        <w:rPr>
          <w:rFonts w:ascii="Arial" w:hAnsi="Arial" w:cs="Arial"/>
          <w:i/>
        </w:rPr>
        <w:t xml:space="preserve">linli@mail.med.upenn.edu; </w:t>
      </w:r>
      <w:r w:rsidRPr="00D2542D">
        <w:rPr>
          <w:rFonts w:ascii="Arial" w:hAnsi="Arial" w:cs="Arial"/>
          <w:i/>
        </w:rPr>
        <w:t>tragan@tissuevision.com</w:t>
      </w:r>
    </w:p>
    <w:p w:rsidR="00536063" w:rsidRDefault="00536063">
      <w:pPr>
        <w:spacing w:after="0" w:line="240" w:lineRule="auto"/>
        <w:jc w:val="center"/>
        <w:rPr>
          <w:rFonts w:ascii="Arial" w:hAnsi="Arial" w:cs="Arial"/>
          <w:i/>
        </w:rPr>
      </w:pPr>
    </w:p>
    <w:p w:rsidR="00536063" w:rsidRPr="009748F1" w:rsidRDefault="00A86019">
      <w:pPr>
        <w:spacing w:after="0" w:line="240" w:lineRule="auto"/>
        <w:jc w:val="both"/>
        <w:rPr>
          <w:rFonts w:ascii="Arial" w:eastAsiaTheme="minorEastAsia" w:hAnsi="Arial" w:cs="Arial"/>
          <w:color w:val="000000"/>
          <w:lang w:eastAsia="ko-KR"/>
        </w:rPr>
      </w:pPr>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916682" w:rsidRPr="00916682">
        <w:rPr>
          <w:rFonts w:ascii="Arial" w:eastAsia="SimSun" w:hAnsi="Arial" w:cs="Arial"/>
          <w:color w:val="000000"/>
        </w:rPr>
        <w:t>The value of optical redox imaging (ORI) of cells/tissues based on the intrinsic fluorescences of NADH and oxidized flavoproteins (containing flavin adenine dinucleotide, i.e., FAD)  has been demonstrated for potential biomedical applications including diagnosis, prognosis, and determining treatment response. However, the Chance redox scanner (a 3D cryogenic tissue imager) is limited by speed and spatial resolution (~50µm), and tissue ORI using fluorescence microscopy (single or multiphoton) is limited by the light penetration depth. Furthermore, viable or snap-frozen tissues are usually required. In this project we aim to study whether ORI may be achieved for fixed tissue using a state-of-the-art modern two-photon (2P) whole tissue optical scanner (WTOS) that can rapidly acquire 3D images at micron resolution. Tissue specimens of mouse muscle, liver, brain and xenografts of human tumors were harvested and fixed (4% paraformaldehyde) for 24 hours. Scanning by the TissueCyte® 1000 WTOS was conducted under room temperature (NADH channel: 2P excitation 750nm, blue emission filter; FAD channel: 2P excitation 850 or 860nm, green emission filter). Tissue structures (e.g. muscle fibers) are clearly visible and single subcellular structures such as nuclei are readily discernible. Some spatial heterogeneities may indicate new biological information. We will present 2D/3D WTOS images of fixed tissues and discuss the feasibility and potential value of fixed tissue ORI for biomedical applications.</w:t>
      </w:r>
    </w:p>
    <w:p w:rsidR="00536063" w:rsidRDefault="00536063">
      <w:pPr>
        <w:spacing w:after="0" w:line="240" w:lineRule="auto"/>
        <w:jc w:val="both"/>
        <w:rPr>
          <w:rFonts w:ascii="Arial" w:eastAsia="SimSun" w:hAnsi="Arial" w:cs="Arial"/>
          <w:color w:val="000000"/>
        </w:rPr>
      </w:pPr>
    </w:p>
    <w:p w:rsidR="00536063" w:rsidRDefault="00536063">
      <w:pPr>
        <w:ind w:left="720"/>
        <w:rPr>
          <w:rFonts w:ascii="Arial" w:hAnsi="Arial" w:cs="Arial"/>
        </w:rPr>
      </w:pP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bookmarkStart w:id="0" w:name="_GoBack"/>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pt;height:19.8pt" o:ole="">
            <v:imagedata r:id="rId9" o:title=""/>
          </v:shape>
          <w:control r:id="rId10" w:name="OptionButton1" w:shapeid="_x0000_i1033"/>
        </w:object>
      </w:r>
      <w:bookmarkEnd w:id="0"/>
      <w:r w:rsidR="00D84360">
        <w:rPr>
          <w:rFonts w:ascii="Arial" w:hAnsi="Arial" w:cs="Arial"/>
        </w:rPr>
        <w:tab/>
      </w:r>
      <w:r w:rsidR="0022452E">
        <w:rPr>
          <w:rFonts w:ascii="Arial" w:hAnsi="Arial" w:cs="Arial"/>
        </w:rPr>
        <w:object w:dxaOrig="225" w:dyaOrig="225">
          <v:shape id="_x0000_i1031" type="#_x0000_t75" style="width:148.8pt;height:19.8pt" o:ole="">
            <v:imagedata r:id="rId11" o:title=""/>
          </v:shape>
          <w:control r:id="rId12"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8193"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CA"/>
    <w:rsid w:val="000214CB"/>
    <w:rsid w:val="00042078"/>
    <w:rsid w:val="000B0BE9"/>
    <w:rsid w:val="00103CE4"/>
    <w:rsid w:val="001248EF"/>
    <w:rsid w:val="00136A37"/>
    <w:rsid w:val="00182D5C"/>
    <w:rsid w:val="001E5599"/>
    <w:rsid w:val="0022452E"/>
    <w:rsid w:val="00226BCA"/>
    <w:rsid w:val="0026095E"/>
    <w:rsid w:val="002761FE"/>
    <w:rsid w:val="00282746"/>
    <w:rsid w:val="002C3083"/>
    <w:rsid w:val="00304608"/>
    <w:rsid w:val="004767E4"/>
    <w:rsid w:val="004A6398"/>
    <w:rsid w:val="004D18EE"/>
    <w:rsid w:val="004E6648"/>
    <w:rsid w:val="00514F29"/>
    <w:rsid w:val="00536063"/>
    <w:rsid w:val="00545C94"/>
    <w:rsid w:val="00555A7D"/>
    <w:rsid w:val="006533FC"/>
    <w:rsid w:val="00653440"/>
    <w:rsid w:val="00682B60"/>
    <w:rsid w:val="00685C5F"/>
    <w:rsid w:val="006E51B7"/>
    <w:rsid w:val="006F031C"/>
    <w:rsid w:val="007109F1"/>
    <w:rsid w:val="00750E77"/>
    <w:rsid w:val="00793262"/>
    <w:rsid w:val="00812CCA"/>
    <w:rsid w:val="00856AA7"/>
    <w:rsid w:val="008727B8"/>
    <w:rsid w:val="008C0A91"/>
    <w:rsid w:val="008F1F76"/>
    <w:rsid w:val="00916682"/>
    <w:rsid w:val="009465E3"/>
    <w:rsid w:val="009748F1"/>
    <w:rsid w:val="00A478D2"/>
    <w:rsid w:val="00A50945"/>
    <w:rsid w:val="00A86019"/>
    <w:rsid w:val="00AE00E0"/>
    <w:rsid w:val="00B07D30"/>
    <w:rsid w:val="00B77F3F"/>
    <w:rsid w:val="00B920D5"/>
    <w:rsid w:val="00C4265A"/>
    <w:rsid w:val="00C43FF3"/>
    <w:rsid w:val="00CB5844"/>
    <w:rsid w:val="00D2542D"/>
    <w:rsid w:val="00D301FC"/>
    <w:rsid w:val="00D72A09"/>
    <w:rsid w:val="00D84360"/>
    <w:rsid w:val="00DA1FFD"/>
    <w:rsid w:val="00E2366C"/>
    <w:rsid w:val="00E946D5"/>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819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BalloonTextChar">
    <w:name w:val="Balloon Text Char"/>
    <w:link w:val="BalloonText"/>
    <w:rPr>
      <w:rFonts w:ascii="Tahoma" w:eastAsia="Times New Roman" w:hAnsi="Tahoma" w:cs="Tahoma"/>
      <w:sz w:val="16"/>
      <w:szCs w:val="16"/>
    </w:rPr>
  </w:style>
  <w:style w:type="character" w:styleId="FollowedHyperlink">
    <w:name w:val="FollowedHyperlink"/>
    <w:basedOn w:val="DefaultParagraphFont"/>
    <w:rsid w:val="008C0A91"/>
    <w:rPr>
      <w:color w:val="800080" w:themeColor="followedHyperlink"/>
      <w:u w:val="single"/>
    </w:rPr>
  </w:style>
  <w:style w:type="paragraph" w:styleId="Header">
    <w:name w:val="header"/>
    <w:basedOn w:val="Normal"/>
    <w:link w:val="HeaderChar"/>
    <w:rsid w:val="004D18EE"/>
    <w:pPr>
      <w:tabs>
        <w:tab w:val="center" w:pos="4513"/>
        <w:tab w:val="right" w:pos="9026"/>
      </w:tabs>
      <w:snapToGrid w:val="0"/>
    </w:pPr>
  </w:style>
  <w:style w:type="character" w:customStyle="1" w:styleId="HeaderChar">
    <w:name w:val="Header Char"/>
    <w:basedOn w:val="DefaultParagraphFont"/>
    <w:link w:val="Header"/>
    <w:rsid w:val="004D18EE"/>
    <w:rPr>
      <w:rFonts w:eastAsia="Times New Roman"/>
      <w:sz w:val="24"/>
      <w:szCs w:val="24"/>
      <w:lang w:val="en-US" w:eastAsia="zh-CN"/>
    </w:rPr>
  </w:style>
  <w:style w:type="paragraph" w:styleId="Footer">
    <w:name w:val="footer"/>
    <w:basedOn w:val="Normal"/>
    <w:link w:val="FooterChar"/>
    <w:rsid w:val="004D18EE"/>
    <w:pPr>
      <w:tabs>
        <w:tab w:val="center" w:pos="4513"/>
        <w:tab w:val="right" w:pos="9026"/>
      </w:tabs>
      <w:snapToGrid w:val="0"/>
    </w:pPr>
  </w:style>
  <w:style w:type="character" w:customStyle="1" w:styleId="FooterChar">
    <w:name w:val="Footer Char"/>
    <w:basedOn w:val="DefaultParagraphFont"/>
    <w:link w:val="Footer"/>
    <w:rsid w:val="004D18EE"/>
    <w:rPr>
      <w:rFonts w:eastAsia="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BalloonTextChar">
    <w:name w:val="Balloon Text Char"/>
    <w:link w:val="BalloonText"/>
    <w:rPr>
      <w:rFonts w:ascii="Tahoma" w:eastAsia="Times New Roman" w:hAnsi="Tahoma" w:cs="Tahoma"/>
      <w:sz w:val="16"/>
      <w:szCs w:val="16"/>
    </w:rPr>
  </w:style>
  <w:style w:type="character" w:styleId="FollowedHyperlink">
    <w:name w:val="FollowedHyperlink"/>
    <w:basedOn w:val="DefaultParagraphFont"/>
    <w:rsid w:val="008C0A91"/>
    <w:rPr>
      <w:color w:val="800080" w:themeColor="followedHyperlink"/>
      <w:u w:val="single"/>
    </w:rPr>
  </w:style>
  <w:style w:type="paragraph" w:styleId="Header">
    <w:name w:val="header"/>
    <w:basedOn w:val="Normal"/>
    <w:link w:val="HeaderChar"/>
    <w:rsid w:val="004D18EE"/>
    <w:pPr>
      <w:tabs>
        <w:tab w:val="center" w:pos="4513"/>
        <w:tab w:val="right" w:pos="9026"/>
      </w:tabs>
      <w:snapToGrid w:val="0"/>
    </w:pPr>
  </w:style>
  <w:style w:type="character" w:customStyle="1" w:styleId="HeaderChar">
    <w:name w:val="Header Char"/>
    <w:basedOn w:val="DefaultParagraphFont"/>
    <w:link w:val="Header"/>
    <w:rsid w:val="004D18EE"/>
    <w:rPr>
      <w:rFonts w:eastAsia="Times New Roman"/>
      <w:sz w:val="24"/>
      <w:szCs w:val="24"/>
      <w:lang w:val="en-US" w:eastAsia="zh-CN"/>
    </w:rPr>
  </w:style>
  <w:style w:type="paragraph" w:styleId="Footer">
    <w:name w:val="footer"/>
    <w:basedOn w:val="Normal"/>
    <w:link w:val="FooterChar"/>
    <w:rsid w:val="004D18EE"/>
    <w:pPr>
      <w:tabs>
        <w:tab w:val="center" w:pos="4513"/>
        <w:tab w:val="right" w:pos="9026"/>
      </w:tabs>
      <w:snapToGrid w:val="0"/>
    </w:pPr>
  </w:style>
  <w:style w:type="character" w:customStyle="1" w:styleId="FooterChar">
    <w:name w:val="Footer Char"/>
    <w:basedOn w:val="DefaultParagraphFont"/>
    <w:link w:val="Footer"/>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control" Target="activeX/activeX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361</Words>
  <Characters>2061</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Lin Z. Li</cp:lastModifiedBy>
  <cp:revision>4</cp:revision>
  <cp:lastPrinted>2012-03-06T08:56:00Z</cp:lastPrinted>
  <dcterms:created xsi:type="dcterms:W3CDTF">2018-04-12T02:53:00Z</dcterms:created>
  <dcterms:modified xsi:type="dcterms:W3CDTF">2018-04-12T03:01:00Z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