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2BF" w:rsidRDefault="00CD72BF">
      <w:pPr>
        <w:spacing w:after="0" w:line="240" w:lineRule="auto"/>
        <w:rPr>
          <w:sz w:val="20"/>
          <w:szCs w:val="20"/>
        </w:rPr>
      </w:pPr>
    </w:p>
    <w:p w:rsidR="00CD72BF" w:rsidRPr="00CD72BF" w:rsidRDefault="00CD72BF" w:rsidP="00CD72BF">
      <w:pPr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</w:pPr>
      <w:r w:rsidRPr="00CD72BF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>Quantification of the tumour oxygenation based</w:t>
      </w:r>
      <w:r w:rsidR="00580E48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 on FMISO PET: influence of </w:t>
      </w:r>
      <w:r w:rsidRPr="00CD72BF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location and oxygen level </w:t>
      </w:r>
      <w:r w:rsidR="00580E48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of </w:t>
      </w:r>
      <w:r w:rsidRPr="00CD72BF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the </w:t>
      </w:r>
      <w:r w:rsidR="00580E48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well-oxygenated </w:t>
      </w:r>
      <w:r w:rsidRPr="00CD72BF">
        <w:rPr>
          <w:rFonts w:ascii="Arial" w:eastAsia="SimSun" w:hAnsi="Arial" w:cs="Arial"/>
          <w:b/>
          <w:bCs/>
          <w:color w:val="000000"/>
          <w:sz w:val="28"/>
          <w:szCs w:val="28"/>
          <w:lang w:val="en-GB"/>
        </w:rPr>
        <w:t xml:space="preserve">reference region </w:t>
      </w:r>
    </w:p>
    <w:p w:rsidR="00536063" w:rsidRDefault="00536063">
      <w:pPr>
        <w:rPr>
          <w:rFonts w:ascii="Arial" w:hAnsi="Arial" w:cs="Arial"/>
        </w:rPr>
      </w:pPr>
    </w:p>
    <w:p w:rsidR="00F55E9E" w:rsidRPr="00381B21" w:rsidRDefault="00381B21" w:rsidP="00F55E9E">
      <w:pPr>
        <w:jc w:val="center"/>
        <w:rPr>
          <w:rFonts w:ascii="Arial" w:hAnsi="Arial" w:cs="Arial"/>
        </w:rPr>
      </w:pPr>
      <w:r w:rsidRPr="00381B21">
        <w:rPr>
          <w:rFonts w:ascii="Arial" w:hAnsi="Arial" w:cs="Arial"/>
          <w:b/>
        </w:rPr>
        <w:t>M</w:t>
      </w:r>
      <w:r w:rsidR="00F55E9E" w:rsidRPr="00381B21">
        <w:rPr>
          <w:rFonts w:ascii="Arial" w:hAnsi="Arial" w:cs="Arial"/>
          <w:b/>
        </w:rPr>
        <w:t xml:space="preserve">. </w:t>
      </w:r>
      <w:r w:rsidRPr="00381B21">
        <w:rPr>
          <w:rFonts w:ascii="Arial" w:hAnsi="Arial" w:cs="Arial"/>
          <w:b/>
        </w:rPr>
        <w:t>Lazzeroni</w:t>
      </w:r>
      <w:r w:rsidR="00F55E9E" w:rsidRPr="00381B21">
        <w:rPr>
          <w:rFonts w:ascii="Arial" w:hAnsi="Arial" w:cs="Arial"/>
          <w:b/>
          <w:vertAlign w:val="superscript"/>
        </w:rPr>
        <w:t>a</w:t>
      </w:r>
      <w:r w:rsidR="00F55E9E" w:rsidRPr="00381B21">
        <w:rPr>
          <w:rFonts w:ascii="Arial" w:hAnsi="Arial" w:cs="Arial"/>
        </w:rPr>
        <w:t xml:space="preserve">, </w:t>
      </w:r>
      <w:r w:rsidRPr="00381B21">
        <w:rPr>
          <w:rFonts w:ascii="Arial" w:hAnsi="Arial" w:cs="Arial"/>
        </w:rPr>
        <w:t>I</w:t>
      </w:r>
      <w:r w:rsidR="00F55E9E" w:rsidRPr="00381B21">
        <w:rPr>
          <w:rFonts w:ascii="Arial" w:hAnsi="Arial" w:cs="Arial"/>
        </w:rPr>
        <w:t xml:space="preserve">. </w:t>
      </w:r>
      <w:r w:rsidRPr="00381B21">
        <w:rPr>
          <w:rFonts w:ascii="Arial" w:hAnsi="Arial" w:cs="Arial"/>
        </w:rPr>
        <w:t>Toma-</w:t>
      </w:r>
      <w:r w:rsidR="00F55E9E" w:rsidRPr="00381B21">
        <w:rPr>
          <w:rFonts w:ascii="Arial" w:hAnsi="Arial" w:cs="Arial"/>
        </w:rPr>
        <w:t>D</w:t>
      </w:r>
      <w:r w:rsidRPr="00381B21">
        <w:rPr>
          <w:rFonts w:ascii="Arial" w:hAnsi="Arial" w:cs="Arial"/>
        </w:rPr>
        <w:t>asu</w:t>
      </w:r>
      <w:r w:rsidR="00F55E9E" w:rsidRPr="00381B21">
        <w:rPr>
          <w:rFonts w:ascii="Arial" w:hAnsi="Arial" w:cs="Arial"/>
          <w:vertAlign w:val="superscript"/>
        </w:rPr>
        <w:t>a</w:t>
      </w:r>
      <w:r w:rsidRPr="00381B21">
        <w:rPr>
          <w:rFonts w:ascii="Arial" w:hAnsi="Arial" w:cs="Arial"/>
        </w:rPr>
        <w:t>, A</w:t>
      </w:r>
      <w:r w:rsidR="00F55E9E" w:rsidRPr="00381B21">
        <w:rPr>
          <w:rFonts w:ascii="Arial" w:hAnsi="Arial" w:cs="Arial"/>
        </w:rPr>
        <w:t xml:space="preserve">. </w:t>
      </w:r>
      <w:r w:rsidRPr="00381B21">
        <w:rPr>
          <w:rFonts w:ascii="Arial" w:hAnsi="Arial" w:cs="Arial"/>
        </w:rPr>
        <w:t>Ureba</w:t>
      </w:r>
      <w:r w:rsidRPr="00381B21">
        <w:rPr>
          <w:rFonts w:ascii="Arial" w:hAnsi="Arial" w:cs="Arial"/>
          <w:vertAlign w:val="superscript"/>
        </w:rPr>
        <w:t>a</w:t>
      </w:r>
      <w:r w:rsidRPr="00381B21">
        <w:rPr>
          <w:rFonts w:ascii="Arial" w:hAnsi="Arial" w:cs="Arial"/>
        </w:rPr>
        <w:t>, F. Schiavo</w:t>
      </w:r>
      <w:r w:rsidRPr="00381B21">
        <w:rPr>
          <w:rFonts w:ascii="Arial" w:eastAsia="SimSun" w:hAnsi="Arial" w:cs="Arial"/>
          <w:vertAlign w:val="superscript"/>
        </w:rPr>
        <w:t>b</w:t>
      </w:r>
      <w:r w:rsidRPr="00381B21">
        <w:rPr>
          <w:rFonts w:ascii="Arial" w:eastAsia="SimSun" w:hAnsi="Arial" w:cs="Arial"/>
        </w:rPr>
        <w:t>,</w:t>
      </w:r>
      <w:r w:rsidRPr="00381B21">
        <w:rPr>
          <w:rFonts w:ascii="Arial" w:hAnsi="Arial" w:cs="Arial"/>
        </w:rPr>
        <w:t xml:space="preserve"> N. Wiedenmann</w:t>
      </w:r>
      <w:r w:rsidRPr="00381B21">
        <w:rPr>
          <w:rFonts w:ascii="Arial" w:eastAsia="SimSun" w:hAnsi="Arial" w:cs="Arial"/>
          <w:vertAlign w:val="superscript"/>
        </w:rPr>
        <w:t>c</w:t>
      </w:r>
      <w:r w:rsidRPr="00381B21">
        <w:rPr>
          <w:rFonts w:ascii="Arial" w:eastAsia="SimSun" w:hAnsi="Arial" w:cs="Arial"/>
        </w:rPr>
        <w:t xml:space="preserve">, </w:t>
      </w:r>
      <w:r w:rsidRPr="00381B21">
        <w:rPr>
          <w:rFonts w:ascii="Arial" w:hAnsi="Arial" w:cs="Arial"/>
          <w:lang w:val="en-GB"/>
        </w:rPr>
        <w:t>H. Bunea</w:t>
      </w:r>
      <w:r w:rsidRPr="00381B21">
        <w:rPr>
          <w:rFonts w:ascii="Arial" w:eastAsia="SimSun" w:hAnsi="Arial" w:cs="Arial"/>
          <w:vertAlign w:val="superscript"/>
        </w:rPr>
        <w:t>c</w:t>
      </w:r>
      <w:r w:rsidRPr="00381B21">
        <w:rPr>
          <w:rFonts w:ascii="Arial" w:eastAsia="SimSun" w:hAnsi="Arial" w:cs="Arial"/>
        </w:rPr>
        <w:t>, B. Thomann</w:t>
      </w:r>
      <w:r w:rsidRPr="00381B21">
        <w:rPr>
          <w:rFonts w:ascii="Arial" w:eastAsia="SimSun" w:hAnsi="Arial" w:cs="Arial"/>
          <w:vertAlign w:val="superscript"/>
        </w:rPr>
        <w:t>c</w:t>
      </w:r>
      <w:r w:rsidRPr="00381B21">
        <w:rPr>
          <w:rFonts w:ascii="Arial" w:eastAsia="SimSun" w:hAnsi="Arial" w:cs="Arial"/>
        </w:rPr>
        <w:t xml:space="preserve">, </w:t>
      </w:r>
      <w:r w:rsidRPr="00381B21">
        <w:rPr>
          <w:rFonts w:ascii="Arial" w:hAnsi="Arial" w:cs="Arial"/>
          <w:lang w:val="en-GB"/>
        </w:rPr>
        <w:t xml:space="preserve"> D. Baltas</w:t>
      </w:r>
      <w:r w:rsidRPr="00381B21">
        <w:rPr>
          <w:rFonts w:ascii="Arial" w:eastAsia="SimSun" w:hAnsi="Arial" w:cs="Arial"/>
          <w:vertAlign w:val="superscript"/>
        </w:rPr>
        <w:t xml:space="preserve"> c</w:t>
      </w:r>
      <w:r w:rsidRPr="00381B21">
        <w:rPr>
          <w:rFonts w:ascii="Arial" w:hAnsi="Arial" w:cs="Arial"/>
          <w:lang w:val="en-GB"/>
        </w:rPr>
        <w:t xml:space="preserve"> and</w:t>
      </w:r>
      <w:r w:rsidRPr="00381B21">
        <w:rPr>
          <w:rFonts w:ascii="Arial" w:eastAsia="SimSun" w:hAnsi="Arial" w:cs="Arial"/>
        </w:rPr>
        <w:t xml:space="preserve"> A. L. Grosu</w:t>
      </w:r>
      <w:r w:rsidRPr="00381B21">
        <w:rPr>
          <w:rFonts w:ascii="Arial" w:eastAsia="SimSun" w:hAnsi="Arial" w:cs="Arial"/>
          <w:vertAlign w:val="superscript"/>
        </w:rPr>
        <w:t>c</w:t>
      </w:r>
      <w:r w:rsidRPr="00381B21">
        <w:rPr>
          <w:rFonts w:ascii="Arial" w:hAnsi="Arial" w:cs="Arial"/>
        </w:rPr>
        <w:t xml:space="preserve"> </w:t>
      </w:r>
    </w:p>
    <w:p w:rsidR="00381B21" w:rsidRPr="00381B21" w:rsidRDefault="00F55E9E" w:rsidP="00F55E9E">
      <w:pPr>
        <w:spacing w:after="0" w:line="240" w:lineRule="auto"/>
        <w:jc w:val="center"/>
        <w:rPr>
          <w:rFonts w:ascii="Arial" w:hAnsi="Arial" w:cs="Arial"/>
          <w:lang w:val="en-GB"/>
        </w:rPr>
      </w:pPr>
      <w:r w:rsidRPr="00381B21">
        <w:rPr>
          <w:rFonts w:ascii="Arial" w:eastAsia="SimSun" w:hAnsi="Arial" w:cs="Arial"/>
          <w:i/>
          <w:vertAlign w:val="superscript"/>
        </w:rPr>
        <w:t xml:space="preserve">a </w:t>
      </w:r>
      <w:r w:rsidR="00381B21" w:rsidRPr="00C415D4">
        <w:rPr>
          <w:rFonts w:ascii="Arial" w:hAnsi="Arial" w:cs="Arial"/>
          <w:i/>
          <w:lang w:val="en-GB"/>
        </w:rPr>
        <w:t>Department of Physics, Stockholm University, Stockholm, Sweden</w:t>
      </w:r>
    </w:p>
    <w:p w:rsidR="00F55E9E" w:rsidRDefault="00F55E9E" w:rsidP="00F55E9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381B21" w:rsidRPr="00381B21">
        <w:rPr>
          <w:rFonts w:ascii="Arial" w:eastAsia="SimSun" w:hAnsi="Arial" w:cs="Arial"/>
          <w:i/>
        </w:rPr>
        <w:t>Department of bioengineering, Padova</w:t>
      </w:r>
      <w:r w:rsidR="00381B21">
        <w:rPr>
          <w:rFonts w:ascii="Arial" w:eastAsia="SimSun" w:hAnsi="Arial" w:cs="Arial"/>
          <w:i/>
          <w:vertAlign w:val="superscript"/>
        </w:rPr>
        <w:t xml:space="preserve"> </w:t>
      </w:r>
      <w:r w:rsidR="00381B21">
        <w:rPr>
          <w:rFonts w:ascii="Arial" w:hAnsi="Arial" w:cs="Arial"/>
          <w:i/>
        </w:rPr>
        <w:t>University, Padova, Italy</w:t>
      </w:r>
    </w:p>
    <w:p w:rsidR="00F55E9E" w:rsidRDefault="00F55E9E" w:rsidP="00F55E9E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 w:rsidR="00381B21" w:rsidRPr="00381B21">
        <w:rPr>
          <w:rFonts w:ascii="Arial" w:hAnsi="Arial" w:cs="Arial"/>
          <w:i/>
          <w:lang w:val="en-GB"/>
        </w:rPr>
        <w:t>Department of Radiation Oncology, Medical Center, Medical Faculty Freiburg, German Cancer Consortium (DKTK) Partner Site Freiburg, Freiburg, Germany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 w:rsidR="00CD72BF">
        <w:rPr>
          <w:rFonts w:ascii="Arial" w:hAnsi="Arial" w:cs="Arial"/>
          <w:i/>
        </w:rPr>
        <w:t>Marta.Lazzeroni@fysik.su.se</w:t>
      </w:r>
    </w:p>
    <w:p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:rsidR="00013CD8" w:rsidRDefault="00013CD8" w:rsidP="00D26683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:rsidR="00D73FDD" w:rsidRDefault="008D5F78" w:rsidP="00D26683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 xml:space="preserve">Abstract: </w:t>
      </w:r>
      <w:r w:rsidR="00D26683">
        <w:rPr>
          <w:rFonts w:ascii="Arial" w:eastAsiaTheme="minorEastAsia" w:hAnsi="Arial" w:cs="Arial"/>
          <w:color w:val="000000"/>
          <w:lang w:eastAsia="ko-KR"/>
        </w:rPr>
        <w:t xml:space="preserve">Tumor hypoxia </w:t>
      </w:r>
      <w:r w:rsidR="001A1DB1">
        <w:rPr>
          <w:rFonts w:ascii="Arial" w:eastAsiaTheme="minorEastAsia" w:hAnsi="Arial" w:cs="Arial"/>
          <w:color w:val="000000"/>
          <w:lang w:eastAsia="ko-KR"/>
        </w:rPr>
        <w:t>is</w:t>
      </w:r>
      <w:r w:rsidR="00D26683">
        <w:rPr>
          <w:rFonts w:ascii="Arial" w:eastAsiaTheme="minorEastAsia" w:hAnsi="Arial" w:cs="Arial"/>
          <w:color w:val="000000"/>
          <w:lang w:eastAsia="ko-KR"/>
        </w:rPr>
        <w:t xml:space="preserve"> of the main </w:t>
      </w:r>
      <w:r w:rsidR="007C73EC">
        <w:rPr>
          <w:rFonts w:ascii="Arial" w:eastAsiaTheme="minorEastAsia" w:hAnsi="Arial" w:cs="Arial"/>
          <w:color w:val="000000"/>
          <w:lang w:eastAsia="ko-KR"/>
        </w:rPr>
        <w:t xml:space="preserve">determinants of </w:t>
      </w:r>
      <w:r w:rsidR="001A1DB1">
        <w:rPr>
          <w:rFonts w:ascii="Arial" w:eastAsiaTheme="minorEastAsia" w:hAnsi="Arial" w:cs="Arial"/>
          <w:color w:val="000000"/>
          <w:lang w:eastAsia="ko-KR"/>
        </w:rPr>
        <w:t>cell</w:t>
      </w:r>
      <w:r w:rsidR="00D73FDD">
        <w:rPr>
          <w:rFonts w:ascii="Arial" w:eastAsiaTheme="minorEastAsia" w:hAnsi="Arial" w:cs="Arial"/>
          <w:color w:val="000000"/>
          <w:lang w:eastAsia="ko-KR"/>
        </w:rPr>
        <w:t xml:space="preserve"> radioresistance</w:t>
      </w:r>
      <w:r w:rsidR="00D26683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D26683" w:rsidRPr="00D26683">
        <w:rPr>
          <w:rFonts w:ascii="Arial" w:eastAsiaTheme="minorEastAsia" w:hAnsi="Arial" w:cs="Arial"/>
          <w:color w:val="000000"/>
          <w:lang w:eastAsia="ko-KR"/>
        </w:rPr>
        <w:t>and</w:t>
      </w:r>
      <w:r w:rsidR="00D26683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1A1DB1">
        <w:rPr>
          <w:rFonts w:ascii="Arial" w:eastAsiaTheme="minorEastAsia" w:hAnsi="Arial" w:cs="Arial"/>
          <w:color w:val="000000"/>
          <w:lang w:eastAsia="ko-KR"/>
        </w:rPr>
        <w:t xml:space="preserve">is </w:t>
      </w:r>
      <w:r w:rsidR="00D26683">
        <w:rPr>
          <w:rFonts w:ascii="Arial" w:eastAsiaTheme="minorEastAsia" w:hAnsi="Arial" w:cs="Arial"/>
          <w:color w:val="000000"/>
          <w:lang w:eastAsia="ko-KR"/>
        </w:rPr>
        <w:t xml:space="preserve">investigated as one of the leading causes of failure of </w:t>
      </w:r>
      <w:r w:rsidR="00D73FDD">
        <w:rPr>
          <w:rFonts w:ascii="Arial" w:eastAsiaTheme="minorEastAsia" w:hAnsi="Arial" w:cs="Arial"/>
          <w:color w:val="000000"/>
          <w:lang w:eastAsia="ko-KR"/>
        </w:rPr>
        <w:t>tumor response to radi</w:t>
      </w:r>
      <w:r w:rsidR="001278F9">
        <w:rPr>
          <w:rFonts w:ascii="Arial" w:eastAsiaTheme="minorEastAsia" w:hAnsi="Arial" w:cs="Arial"/>
          <w:color w:val="000000"/>
          <w:lang w:eastAsia="ko-KR"/>
        </w:rPr>
        <w:t>ot</w:t>
      </w:r>
      <w:r w:rsidR="00D73FDD">
        <w:rPr>
          <w:rFonts w:ascii="Arial" w:eastAsiaTheme="minorEastAsia" w:hAnsi="Arial" w:cs="Arial"/>
          <w:color w:val="000000"/>
          <w:lang w:eastAsia="ko-KR"/>
        </w:rPr>
        <w:t>herapy.</w:t>
      </w:r>
    </w:p>
    <w:p w:rsidR="00D26683" w:rsidRDefault="00D73FDD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>Given its potential pivotal role in treatment outcome</w:t>
      </w:r>
      <w:r w:rsidR="001A1DB1">
        <w:rPr>
          <w:rFonts w:ascii="Arial" w:eastAsiaTheme="minorEastAsia" w:hAnsi="Arial" w:cs="Arial"/>
          <w:color w:val="000000"/>
          <w:lang w:eastAsia="ko-KR"/>
        </w:rPr>
        <w:t xml:space="preserve"> determination</w:t>
      </w:r>
      <w:r>
        <w:rPr>
          <w:rFonts w:ascii="Arial" w:eastAsiaTheme="minorEastAsia" w:hAnsi="Arial" w:cs="Arial"/>
          <w:color w:val="000000"/>
          <w:lang w:eastAsia="ko-KR"/>
        </w:rPr>
        <w:t xml:space="preserve">, efforts </w:t>
      </w:r>
      <w:r w:rsidR="001A1DB1">
        <w:rPr>
          <w:rFonts w:ascii="Arial" w:eastAsiaTheme="minorEastAsia" w:hAnsi="Arial" w:cs="Arial"/>
          <w:color w:val="000000"/>
          <w:lang w:eastAsia="ko-KR"/>
        </w:rPr>
        <w:t>are</w:t>
      </w:r>
      <w:r>
        <w:rPr>
          <w:rFonts w:ascii="Arial" w:eastAsiaTheme="minorEastAsia" w:hAnsi="Arial" w:cs="Arial"/>
          <w:color w:val="000000"/>
          <w:lang w:eastAsia="ko-KR"/>
        </w:rPr>
        <w:t xml:space="preserve"> made in quantifying tumor </w:t>
      </w:r>
      <w:r w:rsidR="00D26683" w:rsidRPr="00D26683">
        <w:rPr>
          <w:rFonts w:ascii="Arial" w:eastAsiaTheme="minorEastAsia" w:hAnsi="Arial" w:cs="Arial"/>
          <w:color w:val="000000"/>
          <w:lang w:eastAsia="ko-KR"/>
        </w:rPr>
        <w:t xml:space="preserve">oxygenation </w:t>
      </w:r>
      <w:r>
        <w:rPr>
          <w:rFonts w:ascii="Arial" w:eastAsiaTheme="minorEastAsia" w:hAnsi="Arial" w:cs="Arial"/>
          <w:color w:val="000000"/>
          <w:lang w:eastAsia="ko-KR"/>
        </w:rPr>
        <w:t xml:space="preserve">during treatment. </w:t>
      </w:r>
    </w:p>
    <w:p w:rsidR="0015529F" w:rsidRDefault="00D73FDD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Positron Emission Tomography </w:t>
      </w:r>
      <w:r w:rsidR="001278F9">
        <w:rPr>
          <w:rFonts w:ascii="Arial" w:eastAsiaTheme="minorEastAsia" w:hAnsi="Arial" w:cs="Arial"/>
          <w:color w:val="000000"/>
          <w:lang w:eastAsia="ko-KR"/>
        </w:rPr>
        <w:t xml:space="preserve">(PET) </w:t>
      </w:r>
      <w:r>
        <w:rPr>
          <w:rFonts w:ascii="Arial" w:eastAsiaTheme="minorEastAsia" w:hAnsi="Arial" w:cs="Arial"/>
          <w:color w:val="000000"/>
          <w:lang w:eastAsia="ko-KR"/>
        </w:rPr>
        <w:t>with hypoxia-specific agents offers not only a way to visualize hypoxic areas</w:t>
      </w:r>
      <w:r w:rsidR="00FB4FC8">
        <w:rPr>
          <w:rFonts w:ascii="Arial" w:eastAsiaTheme="minorEastAsia" w:hAnsi="Arial" w:cs="Arial"/>
          <w:color w:val="000000"/>
          <w:lang w:eastAsia="ko-KR"/>
        </w:rPr>
        <w:t>,</w:t>
      </w:r>
      <w:r>
        <w:rPr>
          <w:rFonts w:ascii="Arial" w:eastAsiaTheme="minorEastAsia" w:hAnsi="Arial" w:cs="Arial"/>
          <w:color w:val="000000"/>
          <w:lang w:eastAsia="ko-KR"/>
        </w:rPr>
        <w:t xml:space="preserve"> but also to quantitatively characterize the microenvironment by conversion </w:t>
      </w:r>
      <w:r w:rsidR="0015529F">
        <w:rPr>
          <w:rFonts w:ascii="Arial" w:eastAsiaTheme="minorEastAsia" w:hAnsi="Arial" w:cs="Arial"/>
          <w:color w:val="000000"/>
          <w:lang w:eastAsia="ko-KR"/>
        </w:rPr>
        <w:t>of radiotracer uptake into oxygenation maps.</w:t>
      </w:r>
      <w:r w:rsidR="002468C0">
        <w:rPr>
          <w:rFonts w:ascii="Arial" w:eastAsiaTheme="minorEastAsia" w:hAnsi="Arial" w:cs="Arial"/>
          <w:color w:val="000000"/>
          <w:lang w:eastAsia="ko-KR"/>
        </w:rPr>
        <w:t xml:space="preserve"> </w:t>
      </w:r>
      <w:r w:rsidR="00964201">
        <w:rPr>
          <w:rFonts w:ascii="Arial" w:eastAsiaTheme="minorEastAsia" w:hAnsi="Arial" w:cs="Arial"/>
          <w:color w:val="000000"/>
          <w:lang w:eastAsia="ko-KR"/>
        </w:rPr>
        <w:t>Conversion functions necess</w:t>
      </w:r>
      <w:r w:rsidR="0000142B">
        <w:rPr>
          <w:rFonts w:ascii="Arial" w:eastAsiaTheme="minorEastAsia" w:hAnsi="Arial" w:cs="Arial"/>
          <w:color w:val="000000"/>
          <w:lang w:eastAsia="ko-KR"/>
        </w:rPr>
        <w:t>arily make use of</w:t>
      </w:r>
      <w:r w:rsidR="002468C0">
        <w:rPr>
          <w:rFonts w:ascii="Arial" w:eastAsiaTheme="minorEastAsia" w:hAnsi="Arial" w:cs="Arial"/>
          <w:color w:val="000000"/>
          <w:lang w:eastAsia="ko-KR"/>
        </w:rPr>
        <w:t xml:space="preserve"> well-oxygenated</w:t>
      </w:r>
      <w:r w:rsidR="0000142B">
        <w:rPr>
          <w:rFonts w:ascii="Arial" w:eastAsiaTheme="minorEastAsia" w:hAnsi="Arial" w:cs="Arial"/>
          <w:color w:val="000000"/>
          <w:lang w:eastAsia="ko-KR"/>
        </w:rPr>
        <w:t xml:space="preserve"> reference </w:t>
      </w:r>
      <w:r w:rsidR="002468C0">
        <w:rPr>
          <w:rFonts w:ascii="Arial" w:eastAsiaTheme="minorEastAsia" w:hAnsi="Arial" w:cs="Arial"/>
          <w:color w:val="000000"/>
          <w:lang w:eastAsia="ko-KR"/>
        </w:rPr>
        <w:t xml:space="preserve">volume </w:t>
      </w:r>
      <w:r w:rsidR="00964201">
        <w:rPr>
          <w:rFonts w:ascii="Arial" w:eastAsiaTheme="minorEastAsia" w:hAnsi="Arial" w:cs="Arial"/>
          <w:color w:val="000000"/>
          <w:lang w:eastAsia="ko-KR"/>
        </w:rPr>
        <w:t xml:space="preserve">(WOV) </w:t>
      </w:r>
      <w:r w:rsidR="002468C0">
        <w:rPr>
          <w:rFonts w:ascii="Arial" w:eastAsiaTheme="minorEastAsia" w:hAnsi="Arial" w:cs="Arial"/>
          <w:color w:val="000000"/>
          <w:lang w:eastAsia="ko-KR"/>
        </w:rPr>
        <w:t>for normalization</w:t>
      </w:r>
      <w:r w:rsidR="001278F9">
        <w:rPr>
          <w:rFonts w:ascii="Arial" w:eastAsiaTheme="minorEastAsia" w:hAnsi="Arial" w:cs="Arial"/>
          <w:color w:val="000000"/>
          <w:lang w:eastAsia="ko-KR"/>
        </w:rPr>
        <w:t xml:space="preserve"> purposes</w:t>
      </w:r>
      <w:r w:rsidR="002468C0">
        <w:rPr>
          <w:rFonts w:ascii="Arial" w:eastAsiaTheme="minorEastAsia" w:hAnsi="Arial" w:cs="Arial"/>
          <w:color w:val="000000"/>
          <w:lang w:eastAsia="ko-KR"/>
        </w:rPr>
        <w:t>.</w:t>
      </w:r>
      <w:r w:rsidR="0000142B">
        <w:rPr>
          <w:rFonts w:ascii="Arial" w:eastAsiaTheme="minorEastAsia" w:hAnsi="Arial" w:cs="Arial"/>
          <w:color w:val="000000"/>
          <w:lang w:eastAsia="ko-KR"/>
        </w:rPr>
        <w:t xml:space="preserve"> </w:t>
      </w:r>
    </w:p>
    <w:p w:rsidR="002468C0" w:rsidRDefault="002468C0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val="en-GB" w:eastAsia="ko-KR"/>
        </w:rPr>
      </w:pPr>
      <w:r>
        <w:rPr>
          <w:rFonts w:ascii="Arial" w:eastAsiaTheme="minorEastAsia" w:hAnsi="Arial" w:cs="Arial"/>
          <w:color w:val="000000"/>
          <w:lang w:eastAsia="ko-KR"/>
        </w:rPr>
        <w:t xml:space="preserve">This study aims at assessing </w:t>
      </w:r>
      <w:r w:rsidRPr="002468C0">
        <w:rPr>
          <w:rFonts w:ascii="Arial" w:eastAsiaTheme="minorEastAsia" w:hAnsi="Arial" w:cs="Arial"/>
          <w:color w:val="000000"/>
          <w:lang w:val="en-GB" w:eastAsia="ko-KR"/>
        </w:rPr>
        <w:t xml:space="preserve">the sensitivity of quantifying the tumour oxygenation based on </w:t>
      </w:r>
      <w:r w:rsidRPr="002468C0">
        <w:rPr>
          <w:rFonts w:ascii="Arial" w:eastAsiaTheme="minorEastAsia" w:hAnsi="Arial" w:cs="Arial"/>
          <w:color w:val="000000"/>
          <w:vertAlign w:val="superscript"/>
          <w:lang w:val="en-GB" w:eastAsia="ko-KR"/>
        </w:rPr>
        <w:t>18</w:t>
      </w:r>
      <w:r w:rsidRPr="002468C0">
        <w:rPr>
          <w:rFonts w:ascii="Arial" w:eastAsiaTheme="minorEastAsia" w:hAnsi="Arial" w:cs="Arial"/>
          <w:color w:val="000000"/>
          <w:lang w:val="en-GB" w:eastAsia="ko-KR"/>
        </w:rPr>
        <w:t xml:space="preserve">F-fluoromisonidazole (FMISO) PET with respect to the choice of the </w:t>
      </w:r>
      <w:r>
        <w:rPr>
          <w:rFonts w:ascii="Arial" w:eastAsiaTheme="minorEastAsia" w:hAnsi="Arial" w:cs="Arial"/>
          <w:color w:val="000000"/>
          <w:lang w:val="en-GB" w:eastAsia="ko-KR"/>
        </w:rPr>
        <w:t xml:space="preserve">location and </w:t>
      </w:r>
      <w:r w:rsidRPr="002468C0">
        <w:rPr>
          <w:rFonts w:ascii="Arial" w:eastAsiaTheme="minorEastAsia" w:hAnsi="Arial" w:cs="Arial"/>
          <w:color w:val="000000"/>
          <w:lang w:val="en-GB" w:eastAsia="ko-KR"/>
        </w:rPr>
        <w:t xml:space="preserve">the oxygenation </w:t>
      </w:r>
      <w:r>
        <w:rPr>
          <w:rFonts w:ascii="Arial" w:eastAsiaTheme="minorEastAsia" w:hAnsi="Arial" w:cs="Arial"/>
          <w:color w:val="000000"/>
          <w:lang w:val="en-GB" w:eastAsia="ko-KR"/>
        </w:rPr>
        <w:t xml:space="preserve">level </w:t>
      </w:r>
      <w:r w:rsidRPr="002468C0">
        <w:rPr>
          <w:rFonts w:ascii="Arial" w:eastAsiaTheme="minorEastAsia" w:hAnsi="Arial" w:cs="Arial"/>
          <w:color w:val="000000"/>
          <w:lang w:val="en-GB" w:eastAsia="ko-KR"/>
        </w:rPr>
        <w:t xml:space="preserve">of the </w:t>
      </w:r>
      <w:r w:rsidR="00964201">
        <w:rPr>
          <w:rFonts w:ascii="Arial" w:eastAsiaTheme="minorEastAsia" w:hAnsi="Arial" w:cs="Arial"/>
          <w:color w:val="000000"/>
          <w:lang w:val="en-GB" w:eastAsia="ko-KR"/>
        </w:rPr>
        <w:t>WOV</w:t>
      </w:r>
      <w:r w:rsidR="00F06D38">
        <w:rPr>
          <w:rFonts w:ascii="Arial" w:eastAsiaTheme="minorEastAsia" w:hAnsi="Arial" w:cs="Arial"/>
          <w:color w:val="000000"/>
          <w:lang w:val="en-GB" w:eastAsia="ko-KR"/>
        </w:rPr>
        <w:t xml:space="preserve"> in head and neck cancer patients.</w:t>
      </w:r>
    </w:p>
    <w:p w:rsidR="00D2354F" w:rsidRDefault="00964201" w:rsidP="00A9540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/>
          <w:lang w:eastAsia="ko-KR"/>
        </w:rPr>
        <w:t>WOVs</w:t>
      </w:r>
      <w:r w:rsidR="00F06D38">
        <w:rPr>
          <w:rFonts w:ascii="Arial" w:eastAsiaTheme="minorEastAsia" w:hAnsi="Arial" w:cs="Arial"/>
          <w:color w:val="000000"/>
          <w:lang w:eastAsia="ko-KR"/>
        </w:rPr>
        <w:t xml:space="preserve"> varying not</w:t>
      </w:r>
      <w:r w:rsidR="00A95408">
        <w:rPr>
          <w:rFonts w:ascii="Arial" w:eastAsiaTheme="minorEastAsia" w:hAnsi="Arial" w:cs="Arial"/>
          <w:color w:val="000000"/>
          <w:lang w:eastAsia="ko-KR"/>
        </w:rPr>
        <w:t xml:space="preserve"> only in shape and location but also with respect to the assigned </w:t>
      </w:r>
      <w:r w:rsidR="00A95408" w:rsidRPr="003045EE">
        <w:rPr>
          <w:rFonts w:ascii="Arial" w:hAnsi="Arial" w:cs="Arial"/>
        </w:rPr>
        <w:t>pO</w:t>
      </w:r>
      <w:r w:rsidR="00A95408" w:rsidRPr="003045EE">
        <w:rPr>
          <w:rFonts w:ascii="Arial" w:hAnsi="Arial" w:cs="Arial"/>
          <w:vertAlign w:val="subscript"/>
        </w:rPr>
        <w:t>2</w:t>
      </w:r>
      <w:r w:rsidR="00A95408">
        <w:rPr>
          <w:rFonts w:ascii="Arial" w:hAnsi="Arial" w:cs="Arial"/>
        </w:rPr>
        <w:t xml:space="preserve"> level</w:t>
      </w:r>
      <w:r w:rsidR="00F06D38">
        <w:rPr>
          <w:rFonts w:ascii="Arial" w:hAnsi="Arial" w:cs="Arial"/>
        </w:rPr>
        <w:t xml:space="preserve"> were considered</w:t>
      </w:r>
      <w:r w:rsidR="00A95408">
        <w:rPr>
          <w:rFonts w:ascii="Arial" w:hAnsi="Arial" w:cs="Arial"/>
        </w:rPr>
        <w:t>. pO</w:t>
      </w:r>
      <w:r w:rsidR="00A95408" w:rsidRPr="003045EE">
        <w:rPr>
          <w:rFonts w:ascii="Arial" w:hAnsi="Arial" w:cs="Arial"/>
          <w:vertAlign w:val="subscript"/>
        </w:rPr>
        <w:t>2</w:t>
      </w:r>
      <w:r w:rsidR="00A95408">
        <w:rPr>
          <w:rFonts w:ascii="Arial" w:hAnsi="Arial" w:cs="Arial"/>
        </w:rPr>
        <w:t xml:space="preserve"> values other than the </w:t>
      </w:r>
      <w:r w:rsidR="00A95408" w:rsidRPr="003045EE">
        <w:rPr>
          <w:rFonts w:ascii="Arial" w:hAnsi="Arial" w:cs="Arial"/>
        </w:rPr>
        <w:t>standard 60 mmHg</w:t>
      </w:r>
      <w:r w:rsidR="00A95408">
        <w:rPr>
          <w:rFonts w:ascii="Arial" w:hAnsi="Arial" w:cs="Arial"/>
        </w:rPr>
        <w:t xml:space="preserve"> were </w:t>
      </w:r>
      <w:r w:rsidR="001278F9">
        <w:rPr>
          <w:rFonts w:ascii="Arial" w:hAnsi="Arial" w:cs="Arial"/>
        </w:rPr>
        <w:t xml:space="preserve">selected </w:t>
      </w:r>
      <w:r w:rsidR="001A1DB1">
        <w:rPr>
          <w:rFonts w:ascii="Arial" w:hAnsi="Arial" w:cs="Arial"/>
        </w:rPr>
        <w:t>according to the</w:t>
      </w:r>
      <w:r w:rsidR="00901112">
        <w:rPr>
          <w:rFonts w:ascii="Arial" w:hAnsi="Arial" w:cs="Arial"/>
        </w:rPr>
        <w:t xml:space="preserve"> specific</w:t>
      </w:r>
      <w:r w:rsidR="00A95408">
        <w:rPr>
          <w:rFonts w:ascii="Arial" w:hAnsi="Arial" w:cs="Arial"/>
        </w:rPr>
        <w:t xml:space="preserve"> </w:t>
      </w:r>
      <w:r w:rsidR="001A1DB1">
        <w:rPr>
          <w:rFonts w:ascii="Arial" w:hAnsi="Arial" w:cs="Arial"/>
        </w:rPr>
        <w:t xml:space="preserve">tissue </w:t>
      </w:r>
      <w:r w:rsidR="00A95408">
        <w:rPr>
          <w:rFonts w:ascii="Arial" w:hAnsi="Arial" w:cs="Arial"/>
        </w:rPr>
        <w:t>type</w:t>
      </w:r>
      <w:r w:rsidR="001A1DB1">
        <w:rPr>
          <w:rFonts w:ascii="Arial" w:hAnsi="Arial" w:cs="Arial"/>
        </w:rPr>
        <w:t xml:space="preserve"> </w:t>
      </w:r>
      <w:r w:rsidR="00A95408">
        <w:rPr>
          <w:rFonts w:ascii="Arial" w:hAnsi="Arial" w:cs="Arial"/>
        </w:rPr>
        <w:t>encompassed by the volume, as reported in R</w:t>
      </w:r>
      <w:r w:rsidR="00A95408" w:rsidRPr="003045EE">
        <w:rPr>
          <w:rFonts w:ascii="Arial" w:hAnsi="Arial" w:cs="Arial"/>
        </w:rPr>
        <w:t>ef. [1].</w:t>
      </w:r>
      <w:r w:rsidR="00A95408">
        <w:rPr>
          <w:rFonts w:ascii="Arial" w:hAnsi="Arial" w:cs="Arial"/>
          <w:vertAlign w:val="subscript"/>
        </w:rPr>
        <w:t xml:space="preserve"> </w:t>
      </w:r>
      <w:r w:rsidR="00A95408">
        <w:rPr>
          <w:rFonts w:ascii="Arial" w:hAnsi="Arial" w:cs="Arial"/>
        </w:rPr>
        <w:t xml:space="preserve"> </w:t>
      </w:r>
    </w:p>
    <w:p w:rsidR="00364CC5" w:rsidRDefault="00A95408" w:rsidP="00364CC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Specifically,</w:t>
      </w:r>
      <w:r w:rsidR="00AA7A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</w:t>
      </w:r>
      <w:r w:rsidR="008D1CD4">
        <w:rPr>
          <w:rFonts w:ascii="Arial" w:hAnsi="Arial" w:cs="Arial"/>
        </w:rPr>
        <w:t xml:space="preserve">ree different strategies were </w:t>
      </w:r>
      <w:r w:rsidR="00AA7A1F">
        <w:rPr>
          <w:rFonts w:ascii="Arial" w:hAnsi="Arial" w:cs="Arial"/>
        </w:rPr>
        <w:t>analyzed</w:t>
      </w:r>
      <w:r w:rsidR="008D1CD4">
        <w:rPr>
          <w:rFonts w:ascii="Arial" w:hAnsi="Arial" w:cs="Arial"/>
        </w:rPr>
        <w:t>:</w:t>
      </w:r>
      <w:r w:rsidR="00364CC5">
        <w:rPr>
          <w:rFonts w:ascii="Arial" w:hAnsi="Arial" w:cs="Arial"/>
        </w:rPr>
        <w:t xml:space="preserve"> (1) a sphere </w:t>
      </w:r>
      <w:r w:rsidR="00964201">
        <w:rPr>
          <w:rFonts w:ascii="Arial" w:hAnsi="Arial" w:cs="Arial"/>
        </w:rPr>
        <w:t>located in the</w:t>
      </w:r>
      <w:r w:rsidR="00364CC5">
        <w:rPr>
          <w:rFonts w:ascii="Arial" w:hAnsi="Arial" w:cs="Arial"/>
        </w:rPr>
        <w:t xml:space="preserve"> </w:t>
      </w:r>
      <w:r w:rsidR="008D1CD4">
        <w:rPr>
          <w:rFonts w:ascii="Arial" w:hAnsi="Arial" w:cs="Arial"/>
        </w:rPr>
        <w:t>shoulder</w:t>
      </w:r>
      <w:r w:rsidR="00364CC5">
        <w:rPr>
          <w:rFonts w:ascii="Arial" w:hAnsi="Arial" w:cs="Arial"/>
        </w:rPr>
        <w:t xml:space="preserve"> </w:t>
      </w:r>
      <w:r w:rsidR="00964201">
        <w:rPr>
          <w:rFonts w:ascii="Arial" w:hAnsi="Arial" w:cs="Arial"/>
        </w:rPr>
        <w:t xml:space="preserve">region (low density in Computer Tomography) </w:t>
      </w:r>
      <w:r w:rsidR="00364CC5">
        <w:rPr>
          <w:rFonts w:ascii="Arial" w:hAnsi="Arial" w:cs="Arial"/>
        </w:rPr>
        <w:t xml:space="preserve">with </w:t>
      </w:r>
      <w:r w:rsidR="008D1CD4">
        <w:rPr>
          <w:rFonts w:ascii="Arial" w:hAnsi="Arial" w:cs="Arial"/>
        </w:rPr>
        <w:t>pO</w:t>
      </w:r>
      <w:r w:rsidR="008D1CD4" w:rsidRPr="003045EE">
        <w:rPr>
          <w:rFonts w:ascii="Arial" w:hAnsi="Arial" w:cs="Arial"/>
          <w:vertAlign w:val="subscript"/>
        </w:rPr>
        <w:t>2</w:t>
      </w:r>
      <w:r w:rsidR="008D1CD4">
        <w:rPr>
          <w:rFonts w:ascii="Arial" w:hAnsi="Arial" w:cs="Arial"/>
        </w:rPr>
        <w:t xml:space="preserve"> </w:t>
      </w:r>
      <w:r w:rsidR="00364CC5">
        <w:rPr>
          <w:rFonts w:ascii="Arial" w:hAnsi="Arial" w:cs="Arial"/>
        </w:rPr>
        <w:t>value</w:t>
      </w:r>
      <w:r w:rsidR="001A1DB1">
        <w:rPr>
          <w:rFonts w:ascii="Arial" w:hAnsi="Arial" w:cs="Arial"/>
        </w:rPr>
        <w:t xml:space="preserve"> equal to 60 mmHg</w:t>
      </w:r>
      <w:r w:rsidR="00407176">
        <w:rPr>
          <w:rFonts w:ascii="Arial" w:hAnsi="Arial" w:cs="Arial"/>
        </w:rPr>
        <w:t xml:space="preserve"> (standard)</w:t>
      </w:r>
      <w:r w:rsidR="001A1DB1">
        <w:rPr>
          <w:rFonts w:ascii="Arial" w:hAnsi="Arial" w:cs="Arial"/>
        </w:rPr>
        <w:t>,</w:t>
      </w:r>
      <w:r w:rsidR="00364CC5">
        <w:rPr>
          <w:rFonts w:ascii="Arial" w:hAnsi="Arial" w:cs="Arial"/>
        </w:rPr>
        <w:t xml:space="preserve"> (2) </w:t>
      </w:r>
      <w:r w:rsidR="00964201">
        <w:rPr>
          <w:rFonts w:ascii="Arial" w:hAnsi="Arial" w:cs="Arial"/>
        </w:rPr>
        <w:t xml:space="preserve">volume located in the neck </w:t>
      </w:r>
      <w:r w:rsidR="00364CC5">
        <w:rPr>
          <w:rFonts w:ascii="Arial" w:hAnsi="Arial" w:cs="Arial"/>
        </w:rPr>
        <w:t xml:space="preserve">muscle </w:t>
      </w:r>
      <w:r w:rsidR="00964201">
        <w:rPr>
          <w:rFonts w:ascii="Arial" w:hAnsi="Arial" w:cs="Arial"/>
        </w:rPr>
        <w:t>wi</w:t>
      </w:r>
      <w:r w:rsidR="00364CC5">
        <w:rPr>
          <w:rFonts w:ascii="Arial" w:hAnsi="Arial" w:cs="Arial"/>
        </w:rPr>
        <w:t>th two alternative levels of oxygenation equal to (a) 60 mmHg (standard), (b) 29 mmHg [1]</w:t>
      </w:r>
      <w:r w:rsidR="00AA7A1F">
        <w:rPr>
          <w:rFonts w:ascii="Arial" w:hAnsi="Arial" w:cs="Arial"/>
        </w:rPr>
        <w:t>, respectively</w:t>
      </w:r>
      <w:r w:rsidR="00364CC5">
        <w:rPr>
          <w:rFonts w:ascii="Arial" w:hAnsi="Arial" w:cs="Arial"/>
        </w:rPr>
        <w:t>.</w:t>
      </w:r>
    </w:p>
    <w:p w:rsidR="008D1CD4" w:rsidRDefault="001E0798" w:rsidP="001E07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Figure 1</w:t>
      </w:r>
      <w:r w:rsidR="008D1CD4">
        <w:rPr>
          <w:rFonts w:ascii="Arial" w:hAnsi="Arial" w:cs="Arial"/>
        </w:rPr>
        <w:t xml:space="preserve"> shows pO</w:t>
      </w:r>
      <w:r w:rsidR="008D1CD4" w:rsidRPr="00973CDE">
        <w:rPr>
          <w:rFonts w:ascii="Arial" w:hAnsi="Arial" w:cs="Arial"/>
          <w:vertAlign w:val="subscript"/>
        </w:rPr>
        <w:t>2</w:t>
      </w:r>
      <w:r w:rsidR="008D1C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values</w:t>
      </w:r>
      <w:r w:rsidR="00364CC5">
        <w:rPr>
          <w:rFonts w:ascii="Arial" w:hAnsi="Arial" w:cs="Arial"/>
        </w:rPr>
        <w:t xml:space="preserve"> within the</w:t>
      </w:r>
      <w:r w:rsidR="00973CDE">
        <w:rPr>
          <w:rFonts w:ascii="Arial" w:hAnsi="Arial" w:cs="Arial"/>
        </w:rPr>
        <w:t xml:space="preserve"> </w:t>
      </w:r>
      <w:r w:rsidR="00364CC5">
        <w:rPr>
          <w:rFonts w:ascii="Arial" w:hAnsi="Arial" w:cs="Arial"/>
        </w:rPr>
        <w:t>Gross Tumor Volume (GTV</w:t>
      </w:r>
      <w:r w:rsidR="00AA7A1F">
        <w:rPr>
          <w:rFonts w:ascii="Arial" w:hAnsi="Arial" w:cs="Arial"/>
        </w:rPr>
        <w:t>)</w:t>
      </w:r>
      <w:r w:rsidR="00364CC5">
        <w:rPr>
          <w:rFonts w:ascii="Arial" w:hAnsi="Arial" w:cs="Arial"/>
        </w:rPr>
        <w:t xml:space="preserve"> obtained for differen</w:t>
      </w:r>
      <w:r w:rsidR="00AA7A1F">
        <w:rPr>
          <w:rFonts w:ascii="Arial" w:hAnsi="Arial" w:cs="Arial"/>
        </w:rPr>
        <w:t xml:space="preserve">t combinations </w:t>
      </w:r>
      <w:r w:rsidR="004A4FF0">
        <w:rPr>
          <w:rFonts w:ascii="Arial" w:hAnsi="Arial" w:cs="Arial"/>
        </w:rPr>
        <w:t>in</w:t>
      </w:r>
      <w:r w:rsidR="00AA7A1F">
        <w:rPr>
          <w:rFonts w:ascii="Arial" w:hAnsi="Arial" w:cs="Arial"/>
        </w:rPr>
        <w:t xml:space="preserve"> location and pO</w:t>
      </w:r>
      <w:r w:rsidR="00AA7A1F" w:rsidRPr="00973CDE">
        <w:rPr>
          <w:rFonts w:ascii="Arial" w:hAnsi="Arial" w:cs="Arial"/>
          <w:vertAlign w:val="subscript"/>
        </w:rPr>
        <w:t xml:space="preserve">2 </w:t>
      </w:r>
      <w:r w:rsidR="00AA7A1F">
        <w:rPr>
          <w:rFonts w:ascii="Arial" w:hAnsi="Arial" w:cs="Arial"/>
        </w:rPr>
        <w:t xml:space="preserve">level selection of </w:t>
      </w:r>
      <w:r w:rsidR="003D0F72">
        <w:rPr>
          <w:rFonts w:ascii="Arial" w:hAnsi="Arial" w:cs="Arial"/>
        </w:rPr>
        <w:t>WOV</w:t>
      </w:r>
      <w:r>
        <w:rPr>
          <w:rFonts w:ascii="Arial" w:hAnsi="Arial" w:cs="Arial"/>
        </w:rPr>
        <w:t xml:space="preserve">, together with the </w:t>
      </w:r>
      <w:r w:rsidR="003D0F72">
        <w:rPr>
          <w:rFonts w:ascii="Arial" w:hAnsi="Arial" w:cs="Arial"/>
        </w:rPr>
        <w:t>obtained</w:t>
      </w:r>
      <w:r w:rsidR="009642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hypoxic volume</w:t>
      </w:r>
      <w:r w:rsidR="00AA7A1F">
        <w:rPr>
          <w:rFonts w:ascii="Arial" w:hAnsi="Arial" w:cs="Arial"/>
        </w:rPr>
        <w:t>.</w:t>
      </w:r>
      <w:r w:rsidR="001278F9">
        <w:rPr>
          <w:rFonts w:ascii="Arial" w:hAnsi="Arial" w:cs="Arial"/>
        </w:rPr>
        <w:t xml:space="preserve"> </w:t>
      </w:r>
      <w:r w:rsidR="00AA3792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ethod (1) and (2b) show the largest degree of agreement in </w:t>
      </w:r>
      <w:r w:rsidR="00FE7C2F">
        <w:rPr>
          <w:rFonts w:ascii="Arial" w:hAnsi="Arial" w:cs="Arial"/>
        </w:rPr>
        <w:t>hypoxic patient classification</w:t>
      </w:r>
      <w:r>
        <w:rPr>
          <w:rFonts w:ascii="Arial" w:hAnsi="Arial" w:cs="Arial"/>
        </w:rPr>
        <w:t xml:space="preserve"> (10 mmHg threshold).</w:t>
      </w:r>
    </w:p>
    <w:p w:rsidR="001E0798" w:rsidRDefault="001E0798" w:rsidP="001E0798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Hypoxia mapping strategies are found highly sensitive to selection of the location of well-oxygenated region</w:t>
      </w:r>
      <w:r w:rsidRPr="00537692">
        <w:rPr>
          <w:rFonts w:ascii="Arial" w:hAnsi="Arial" w:cs="Arial"/>
        </w:rPr>
        <w:t xml:space="preserve">, but also on its assigned oxygenation level, which </w:t>
      </w:r>
      <w:r w:rsidR="00537692">
        <w:rPr>
          <w:rFonts w:ascii="Arial" w:hAnsi="Arial" w:cs="Arial"/>
        </w:rPr>
        <w:t>is crucial for</w:t>
      </w:r>
      <w:r w:rsidR="00537692" w:rsidRPr="00537692">
        <w:rPr>
          <w:rFonts w:ascii="Arial" w:hAnsi="Arial" w:cs="Arial"/>
        </w:rPr>
        <w:t xml:space="preserve"> </w:t>
      </w:r>
      <w:r w:rsidR="00537692" w:rsidRPr="00537692">
        <w:rPr>
          <w:rFonts w:ascii="Arial" w:hAnsi="Arial" w:cs="Arial"/>
          <w:color w:val="000000"/>
          <w:shd w:val="clear" w:color="auto" w:fill="FFFFFF"/>
        </w:rPr>
        <w:t>hypoxia-guided adaptive dose escalation</w:t>
      </w:r>
      <w:r w:rsidR="00537692" w:rsidRPr="00537692">
        <w:rPr>
          <w:rFonts w:ascii="Arial" w:hAnsi="Arial" w:cs="Arial"/>
        </w:rPr>
        <w:t xml:space="preserve"> strategies</w:t>
      </w:r>
      <w:r w:rsidR="003D0F72">
        <w:rPr>
          <w:rFonts w:ascii="Arial" w:hAnsi="Arial" w:cs="Arial"/>
        </w:rPr>
        <w:t>.</w:t>
      </w:r>
    </w:p>
    <w:p w:rsidR="001E0798" w:rsidRDefault="001E0798" w:rsidP="008D1CD4">
      <w:pPr>
        <w:jc w:val="both"/>
        <w:rPr>
          <w:rFonts w:ascii="Arial" w:hAnsi="Arial" w:cs="Arial"/>
        </w:rPr>
      </w:pPr>
    </w:p>
    <w:p w:rsidR="00407176" w:rsidRDefault="00407176">
      <w:pPr>
        <w:spacing w:after="0" w:line="240" w:lineRule="auto"/>
        <w:rPr>
          <w:rFonts w:ascii="Arial" w:hAnsi="Arial" w:cs="Arial"/>
        </w:rPr>
      </w:pPr>
    </w:p>
    <w:p w:rsidR="0088171E" w:rsidRDefault="00104AEA" w:rsidP="00104AEA">
      <w:pPr>
        <w:spacing w:after="0" w:line="240" w:lineRule="auto"/>
        <w:jc w:val="center"/>
        <w:rPr>
          <w:rFonts w:ascii="Arial" w:eastAsiaTheme="minorEastAsia" w:hAnsi="Arial" w:cs="Arial"/>
          <w:color w:val="000000"/>
          <w:lang w:eastAsia="ko-KR"/>
        </w:rPr>
      </w:pPr>
      <w:r>
        <w:rPr>
          <w:rFonts w:ascii="Arial" w:eastAsiaTheme="minorEastAsia" w:hAnsi="Arial" w:cs="Arial"/>
          <w:noProof/>
          <w:color w:val="000000"/>
          <w:lang w:val="en-GB" w:eastAsia="en-GB"/>
        </w:rPr>
        <w:lastRenderedPageBreak/>
        <w:drawing>
          <wp:inline distT="0" distB="0" distL="0" distR="0">
            <wp:extent cx="4315968" cy="73456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EA" w:rsidRDefault="00104AEA">
      <w:pPr>
        <w:spacing w:after="0" w:line="240" w:lineRule="auto"/>
        <w:jc w:val="both"/>
        <w:rPr>
          <w:rFonts w:ascii="Arial" w:eastAsiaTheme="minorEastAsia" w:hAnsi="Arial" w:cs="Arial"/>
          <w:color w:val="000000"/>
          <w:lang w:eastAsia="ko-KR"/>
        </w:rPr>
      </w:pPr>
    </w:p>
    <w:p w:rsidR="004A4FF0" w:rsidRPr="004F423B" w:rsidRDefault="004A4FF0" w:rsidP="004A4FF0">
      <w:pPr>
        <w:rPr>
          <w:rFonts w:ascii="Arial" w:hAnsi="Arial" w:cs="Arial"/>
          <w:b/>
          <w:color w:val="222222"/>
          <w:shd w:val="clear" w:color="auto" w:fill="FFFFFF"/>
        </w:rPr>
      </w:pPr>
      <w:r w:rsidRPr="004F423B">
        <w:rPr>
          <w:rFonts w:ascii="Arial" w:hAnsi="Arial" w:cs="Arial"/>
          <w:b/>
          <w:color w:val="222222"/>
          <w:shd w:val="clear" w:color="auto" w:fill="FFFFFF"/>
        </w:rPr>
        <w:t>References</w:t>
      </w:r>
    </w:p>
    <w:p w:rsidR="004A4FF0" w:rsidRPr="00013CD8" w:rsidRDefault="004A4FF0" w:rsidP="004A4FF0">
      <w:pPr>
        <w:rPr>
          <w:sz w:val="22"/>
        </w:rPr>
      </w:pPr>
      <w:r w:rsidRPr="00013CD8">
        <w:rPr>
          <w:rFonts w:ascii="Arial" w:hAnsi="Arial" w:cs="Arial"/>
          <w:color w:val="222222"/>
          <w:sz w:val="22"/>
          <w:shd w:val="clear" w:color="auto" w:fill="FFFFFF"/>
        </w:rPr>
        <w:t>[1] Carreau, A., Hafny</w:t>
      </w:r>
      <w:r w:rsidRPr="00013CD8">
        <w:rPr>
          <w:rFonts w:ascii="Cambria Math" w:hAnsi="Cambria Math" w:cs="Cambria Math"/>
          <w:color w:val="222222"/>
          <w:sz w:val="22"/>
          <w:shd w:val="clear" w:color="auto" w:fill="FFFFFF"/>
        </w:rPr>
        <w:t>‐</w:t>
      </w:r>
      <w:r w:rsidRPr="00013CD8">
        <w:rPr>
          <w:rFonts w:ascii="Arial" w:hAnsi="Arial" w:cs="Arial"/>
          <w:color w:val="222222"/>
          <w:sz w:val="22"/>
          <w:shd w:val="clear" w:color="auto" w:fill="FFFFFF"/>
        </w:rPr>
        <w:t>Rahbi, B. E., Matejuk, A., Grillon, C., &amp; Kieda, C. (2011). Why is the partial oxygen pressure of human tissues a crucial parameter? Small molecules and hypoxia. </w:t>
      </w:r>
      <w:r w:rsidRPr="00013CD8">
        <w:rPr>
          <w:rFonts w:ascii="Arial" w:hAnsi="Arial" w:cs="Arial"/>
          <w:i/>
          <w:iCs/>
          <w:color w:val="222222"/>
          <w:sz w:val="22"/>
          <w:shd w:val="clear" w:color="auto" w:fill="FFFFFF"/>
        </w:rPr>
        <w:t>Journal of cellular and molecular medicine</w:t>
      </w:r>
      <w:r w:rsidRPr="00013CD8">
        <w:rPr>
          <w:rFonts w:ascii="Arial" w:hAnsi="Arial" w:cs="Arial"/>
          <w:color w:val="222222"/>
          <w:sz w:val="22"/>
          <w:shd w:val="clear" w:color="auto" w:fill="FFFFFF"/>
        </w:rPr>
        <w:t>, </w:t>
      </w:r>
      <w:r w:rsidRPr="00013CD8">
        <w:rPr>
          <w:rFonts w:ascii="Arial" w:hAnsi="Arial" w:cs="Arial"/>
          <w:i/>
          <w:iCs/>
          <w:color w:val="222222"/>
          <w:sz w:val="22"/>
          <w:shd w:val="clear" w:color="auto" w:fill="FFFFFF"/>
        </w:rPr>
        <w:t>15</w:t>
      </w:r>
      <w:r w:rsidRPr="00013CD8">
        <w:rPr>
          <w:rFonts w:ascii="Arial" w:hAnsi="Arial" w:cs="Arial"/>
          <w:color w:val="222222"/>
          <w:sz w:val="22"/>
          <w:shd w:val="clear" w:color="auto" w:fill="FFFFFF"/>
        </w:rPr>
        <w:t>(6), 1239-1253.</w:t>
      </w:r>
    </w:p>
    <w:p w:rsidR="002468C0" w:rsidRDefault="002468C0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</w:p>
    <w:p w:rsidR="001C254C" w:rsidRDefault="005F050E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</w:t>
      </w:r>
      <w:r w:rsidR="00514F29">
        <w:rPr>
          <w:rFonts w:ascii="Arial" w:hAnsi="Arial" w:cs="Arial"/>
        </w:rPr>
        <w:t xml:space="preserve"> prefer:</w: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160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19.7pt" o:ole="">
            <v:imagedata r:id="rId10" o:title=""/>
          </v:shape>
          <w:control r:id="rId11" w:name="OptionButton1" w:shapeid="_x0000_i1027"/>
        </w:object>
      </w:r>
      <w:r w:rsidR="00D84360">
        <w:rPr>
          <w:rFonts w:ascii="Arial" w:hAnsi="Arial" w:cs="Arial"/>
        </w:rPr>
        <w:tab/>
      </w:r>
      <w:r w:rsidR="0022452E">
        <w:rPr>
          <w:rFonts w:ascii="Arial" w:hAnsi="Arial" w:cs="Arial"/>
        </w:rPr>
        <w:object w:dxaOrig="2160" w:dyaOrig="396">
          <v:shape id="_x0000_i1028" type="#_x0000_t75" style="width:149.15pt;height:19.7pt" o:ole="">
            <v:imagedata r:id="rId12" o:title=""/>
          </v:shape>
          <w:control r:id="rId13" w:name="OptionButton2" w:shapeid="_x0000_i1028"/>
        </w:object>
      </w:r>
      <w:bookmarkStart w:id="0" w:name="_GoBack"/>
      <w:bookmarkEnd w:id="0"/>
    </w:p>
    <w:sectPr w:rsidR="001C254C" w:rsidSect="00D27B06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AA" w:rsidRDefault="00E662AA" w:rsidP="004D18EE">
      <w:pPr>
        <w:spacing w:after="0" w:line="240" w:lineRule="auto"/>
      </w:pPr>
      <w:r>
        <w:separator/>
      </w:r>
    </w:p>
  </w:endnote>
  <w:endnote w:type="continuationSeparator" w:id="0">
    <w:p w:rsidR="00E662AA" w:rsidRDefault="00E662AA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AA" w:rsidRDefault="00E662AA" w:rsidP="004D18EE">
      <w:pPr>
        <w:spacing w:after="0" w:line="240" w:lineRule="auto"/>
      </w:pPr>
      <w:r>
        <w:separator/>
      </w:r>
    </w:p>
  </w:footnote>
  <w:footnote w:type="continuationSeparator" w:id="0">
    <w:p w:rsidR="00E662AA" w:rsidRDefault="00E662AA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BB6"/>
    <w:multiLevelType w:val="hybridMultilevel"/>
    <w:tmpl w:val="B2BEAD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4D0623E9"/>
    <w:multiLevelType w:val="hybridMultilevel"/>
    <w:tmpl w:val="BBB231C0"/>
    <w:lvl w:ilvl="0" w:tplc="62B646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0142B"/>
    <w:rsid w:val="00013CD8"/>
    <w:rsid w:val="000214CB"/>
    <w:rsid w:val="00042078"/>
    <w:rsid w:val="000571C5"/>
    <w:rsid w:val="000B0BE9"/>
    <w:rsid w:val="000D47BE"/>
    <w:rsid w:val="00103CE4"/>
    <w:rsid w:val="00104AEA"/>
    <w:rsid w:val="00115170"/>
    <w:rsid w:val="001248EF"/>
    <w:rsid w:val="001278F9"/>
    <w:rsid w:val="001353CC"/>
    <w:rsid w:val="0015529F"/>
    <w:rsid w:val="00182D5C"/>
    <w:rsid w:val="001A1DB1"/>
    <w:rsid w:val="001A5194"/>
    <w:rsid w:val="001C254C"/>
    <w:rsid w:val="001E0798"/>
    <w:rsid w:val="001E5599"/>
    <w:rsid w:val="0022452E"/>
    <w:rsid w:val="00226BCA"/>
    <w:rsid w:val="0023303B"/>
    <w:rsid w:val="002468C0"/>
    <w:rsid w:val="0025651E"/>
    <w:rsid w:val="00257552"/>
    <w:rsid w:val="0026095E"/>
    <w:rsid w:val="002761FE"/>
    <w:rsid w:val="00282746"/>
    <w:rsid w:val="002C3040"/>
    <w:rsid w:val="002C3083"/>
    <w:rsid w:val="00304608"/>
    <w:rsid w:val="00364CC5"/>
    <w:rsid w:val="00381B21"/>
    <w:rsid w:val="003D0297"/>
    <w:rsid w:val="003D0F72"/>
    <w:rsid w:val="003F2476"/>
    <w:rsid w:val="003F7003"/>
    <w:rsid w:val="00407176"/>
    <w:rsid w:val="004767E4"/>
    <w:rsid w:val="00485830"/>
    <w:rsid w:val="004A4FF0"/>
    <w:rsid w:val="004A6398"/>
    <w:rsid w:val="004B62D1"/>
    <w:rsid w:val="004D18EE"/>
    <w:rsid w:val="004E6648"/>
    <w:rsid w:val="00514F29"/>
    <w:rsid w:val="00516363"/>
    <w:rsid w:val="00536063"/>
    <w:rsid w:val="00537692"/>
    <w:rsid w:val="00555A7D"/>
    <w:rsid w:val="00580E48"/>
    <w:rsid w:val="005F050E"/>
    <w:rsid w:val="006533FC"/>
    <w:rsid w:val="00653440"/>
    <w:rsid w:val="00682B60"/>
    <w:rsid w:val="00685C5F"/>
    <w:rsid w:val="00686BB0"/>
    <w:rsid w:val="006E51B7"/>
    <w:rsid w:val="006F031C"/>
    <w:rsid w:val="006F5D68"/>
    <w:rsid w:val="007109F1"/>
    <w:rsid w:val="007123BB"/>
    <w:rsid w:val="0073192F"/>
    <w:rsid w:val="0074226C"/>
    <w:rsid w:val="00750E77"/>
    <w:rsid w:val="0075486B"/>
    <w:rsid w:val="00754B14"/>
    <w:rsid w:val="00754CEB"/>
    <w:rsid w:val="00793262"/>
    <w:rsid w:val="007C73EC"/>
    <w:rsid w:val="00812CCA"/>
    <w:rsid w:val="00833736"/>
    <w:rsid w:val="00856AA7"/>
    <w:rsid w:val="008727B8"/>
    <w:rsid w:val="0088171E"/>
    <w:rsid w:val="008844CA"/>
    <w:rsid w:val="008C0A91"/>
    <w:rsid w:val="008D1CD4"/>
    <w:rsid w:val="008D5F78"/>
    <w:rsid w:val="008E2CFC"/>
    <w:rsid w:val="008F1F76"/>
    <w:rsid w:val="00901112"/>
    <w:rsid w:val="009465E3"/>
    <w:rsid w:val="00964201"/>
    <w:rsid w:val="00973CDE"/>
    <w:rsid w:val="009748F1"/>
    <w:rsid w:val="0099181B"/>
    <w:rsid w:val="009C0B1D"/>
    <w:rsid w:val="00A01EB7"/>
    <w:rsid w:val="00A478D2"/>
    <w:rsid w:val="00A50945"/>
    <w:rsid w:val="00A84EC0"/>
    <w:rsid w:val="00A86019"/>
    <w:rsid w:val="00A95408"/>
    <w:rsid w:val="00A97427"/>
    <w:rsid w:val="00AA1D1C"/>
    <w:rsid w:val="00AA3792"/>
    <w:rsid w:val="00AA7A1F"/>
    <w:rsid w:val="00AE00E0"/>
    <w:rsid w:val="00B2472E"/>
    <w:rsid w:val="00B5113D"/>
    <w:rsid w:val="00B77F3F"/>
    <w:rsid w:val="00B920D5"/>
    <w:rsid w:val="00C11844"/>
    <w:rsid w:val="00C11F0B"/>
    <w:rsid w:val="00C36431"/>
    <w:rsid w:val="00C415D4"/>
    <w:rsid w:val="00C4265A"/>
    <w:rsid w:val="00C43FF3"/>
    <w:rsid w:val="00C478C5"/>
    <w:rsid w:val="00CB5844"/>
    <w:rsid w:val="00CD72BF"/>
    <w:rsid w:val="00D2354F"/>
    <w:rsid w:val="00D26683"/>
    <w:rsid w:val="00D27B06"/>
    <w:rsid w:val="00D301FC"/>
    <w:rsid w:val="00D64247"/>
    <w:rsid w:val="00D72A09"/>
    <w:rsid w:val="00D73FDD"/>
    <w:rsid w:val="00D84360"/>
    <w:rsid w:val="00DA1FFD"/>
    <w:rsid w:val="00DE6DC8"/>
    <w:rsid w:val="00E03DB7"/>
    <w:rsid w:val="00E05AAF"/>
    <w:rsid w:val="00E21782"/>
    <w:rsid w:val="00E2366C"/>
    <w:rsid w:val="00E61D4D"/>
    <w:rsid w:val="00E621A4"/>
    <w:rsid w:val="00E662AA"/>
    <w:rsid w:val="00E8661A"/>
    <w:rsid w:val="00E946D5"/>
    <w:rsid w:val="00F06D38"/>
    <w:rsid w:val="00F55E9E"/>
    <w:rsid w:val="00FA0CE5"/>
    <w:rsid w:val="00FB4FC8"/>
    <w:rsid w:val="00FE7C2F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C035843-647B-48DE-93ED-99794F5F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4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476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F24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F2476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D2354F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sv-SE" w:eastAsia="en-US"/>
    </w:rPr>
  </w:style>
  <w:style w:type="table" w:styleId="TableGrid">
    <w:name w:val="Table Grid"/>
    <w:basedOn w:val="TableNormal"/>
    <w:uiPriority w:val="59"/>
    <w:rsid w:val="001A5194"/>
    <w:rPr>
      <w:rFonts w:asciiTheme="minorHAnsi" w:eastAsiaTheme="minorHAnsi" w:hAnsiTheme="minorHAnsi" w:cstheme="minorBidi"/>
      <w:sz w:val="22"/>
      <w:szCs w:val="22"/>
      <w:lang w:val="sv-S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51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194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val="sv-S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194"/>
    <w:rPr>
      <w:rFonts w:asciiTheme="minorHAnsi" w:eastAsiaTheme="minorHAnsi" w:hAnsiTheme="minorHAnsi" w:cstheme="minorBidi"/>
      <w:lang w:val="sv-SE" w:eastAsia="en-US"/>
    </w:rPr>
  </w:style>
  <w:style w:type="paragraph" w:styleId="Caption">
    <w:name w:val="caption"/>
    <w:basedOn w:val="Normal"/>
    <w:next w:val="Normal"/>
    <w:unhideWhenUsed/>
    <w:qFormat/>
    <w:rsid w:val="00E61D4D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2">
    <w:name w:val="Plain Table 2"/>
    <w:basedOn w:val="TableNormal"/>
    <w:uiPriority w:val="42"/>
    <w:rsid w:val="0011517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088B5-5F4F-464C-82A8-E6CF1467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Stephanie</dc:creator>
  <cp:keywords/>
  <dc:description/>
  <cp:lastModifiedBy>Marta Lazzeroni</cp:lastModifiedBy>
  <cp:revision>2</cp:revision>
  <cp:lastPrinted>2012-03-06T08:56:00Z</cp:lastPrinted>
  <dcterms:created xsi:type="dcterms:W3CDTF">2018-04-15T16:45:00Z</dcterms:created>
  <dcterms:modified xsi:type="dcterms:W3CDTF">2018-04-15T16:45:00Z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