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63" w:rsidRPr="004D18EE" w:rsidRDefault="00A86019">
      <w:pPr>
        <w:jc w:val="center"/>
        <w:rPr>
          <w:rFonts w:ascii="Arial" w:eastAsiaTheme="minorEastAsia" w:hAnsi="Arial" w:cs="Arial"/>
          <w:b/>
          <w:sz w:val="32"/>
          <w:szCs w:val="32"/>
          <w:lang w:eastAsia="ko-KR"/>
        </w:rPr>
      </w:pPr>
      <w:r>
        <w:rPr>
          <w:rFonts w:ascii="Arial" w:hAnsi="Arial" w:cs="Arial"/>
          <w:b/>
          <w:sz w:val="32"/>
          <w:szCs w:val="32"/>
        </w:rPr>
        <w:t>Abstract Submission Instructions for ISOTT 201</w:t>
      </w:r>
      <w:r w:rsidR="004D18EE">
        <w:rPr>
          <w:rFonts w:ascii="Arial" w:eastAsiaTheme="minorEastAsia" w:hAnsi="Arial" w:cs="Arial" w:hint="eastAsia"/>
          <w:b/>
          <w:sz w:val="32"/>
          <w:szCs w:val="32"/>
          <w:lang w:eastAsia="ko-KR"/>
        </w:rPr>
        <w:t>8</w:t>
      </w:r>
    </w:p>
    <w:p w:rsidR="00536063" w:rsidRDefault="00536063">
      <w:pPr>
        <w:jc w:val="center"/>
        <w:rPr>
          <w:rFonts w:ascii="Arial" w:hAnsi="Arial" w:cs="Arial"/>
          <w:b/>
          <w:sz w:val="32"/>
          <w:szCs w:val="32"/>
        </w:rPr>
      </w:pPr>
    </w:p>
    <w:p w:rsidR="000214CB" w:rsidRDefault="000214CB">
      <w:pPr>
        <w:numPr>
          <w:ilvl w:val="0"/>
          <w:numId w:val="1"/>
        </w:numPr>
        <w:rPr>
          <w:rFonts w:ascii="Arial" w:hAnsi="Arial" w:cs="Arial"/>
        </w:rPr>
      </w:pPr>
      <w:r>
        <w:rPr>
          <w:rFonts w:ascii="Arial" w:hAnsi="Arial" w:cs="Arial"/>
        </w:rPr>
        <w:t>Use the Microsoft Word template on the next page with the specified formatting for your abstract.</w:t>
      </w:r>
    </w:p>
    <w:p w:rsidR="00536063" w:rsidRPr="000214CB" w:rsidRDefault="00A86019" w:rsidP="000214CB">
      <w:pPr>
        <w:numPr>
          <w:ilvl w:val="0"/>
          <w:numId w:val="1"/>
        </w:numPr>
        <w:rPr>
          <w:rFonts w:ascii="Arial" w:hAnsi="Arial" w:cs="Arial"/>
        </w:rPr>
      </w:pPr>
      <w:r w:rsidRPr="000214CB">
        <w:rPr>
          <w:rFonts w:ascii="Arial" w:hAnsi="Arial" w:cs="Arial"/>
        </w:rPr>
        <w:t xml:space="preserve">Limit abstracts to a single A4 </w:t>
      </w:r>
      <w:r w:rsidR="00514F29">
        <w:rPr>
          <w:rFonts w:ascii="Arial" w:hAnsi="Arial" w:cs="Arial"/>
        </w:rPr>
        <w:t xml:space="preserve">page </w:t>
      </w:r>
      <w:r w:rsidRPr="000214CB">
        <w:rPr>
          <w:rFonts w:ascii="Arial" w:hAnsi="Arial" w:cs="Arial"/>
        </w:rPr>
        <w:t>(including if needed references and figures).</w:t>
      </w:r>
    </w:p>
    <w:p w:rsidR="00536063" w:rsidRDefault="00A86019">
      <w:pPr>
        <w:numPr>
          <w:ilvl w:val="0"/>
          <w:numId w:val="1"/>
        </w:numPr>
        <w:rPr>
          <w:rFonts w:ascii="Arial" w:hAnsi="Arial" w:cs="Arial"/>
        </w:rPr>
      </w:pPr>
      <w:r>
        <w:rPr>
          <w:rFonts w:ascii="Arial" w:hAnsi="Arial" w:cs="Arial"/>
        </w:rPr>
        <w:t>Use Arial 12 point justified text with single line spacing and no empty lines before and after paragraphs.</w:t>
      </w:r>
    </w:p>
    <w:p w:rsidR="00536063" w:rsidRDefault="00A86019">
      <w:pPr>
        <w:numPr>
          <w:ilvl w:val="0"/>
          <w:numId w:val="1"/>
        </w:numPr>
        <w:rPr>
          <w:rFonts w:ascii="Arial" w:hAnsi="Arial" w:cs="Arial"/>
        </w:rPr>
      </w:pPr>
      <w:r>
        <w:rPr>
          <w:rFonts w:ascii="Arial" w:hAnsi="Arial" w:cs="Arial"/>
        </w:rPr>
        <w:t>Set margins at 2.5cm on the Top, Left and Right and 2cm at the Bottom.</w:t>
      </w:r>
    </w:p>
    <w:p w:rsidR="009465E3" w:rsidRDefault="009465E3">
      <w:pPr>
        <w:numPr>
          <w:ilvl w:val="0"/>
          <w:numId w:val="1"/>
        </w:numPr>
        <w:rPr>
          <w:rFonts w:ascii="Arial" w:hAnsi="Arial" w:cs="Arial"/>
        </w:rPr>
      </w:pPr>
      <w:r>
        <w:rPr>
          <w:rFonts w:ascii="Arial" w:hAnsi="Arial" w:cs="Arial"/>
        </w:rPr>
        <w:t>Indicate at the end of the abstract (radio buttons) if you wish to be considered for an oral or poster presentation.</w:t>
      </w:r>
    </w:p>
    <w:p w:rsidR="00536063" w:rsidRDefault="00536063">
      <w:pPr>
        <w:ind w:left="720"/>
        <w:rPr>
          <w:rFonts w:ascii="Arial" w:hAnsi="Arial" w:cs="Arial"/>
          <w:sz w:val="28"/>
          <w:szCs w:val="28"/>
        </w:rPr>
      </w:pPr>
    </w:p>
    <w:p w:rsidR="009465E3" w:rsidRDefault="009465E3" w:rsidP="009465E3">
      <w:pPr>
        <w:rPr>
          <w:rFonts w:ascii="Arial" w:hAnsi="Arial" w:cs="Arial"/>
          <w:sz w:val="28"/>
          <w:szCs w:val="28"/>
        </w:rPr>
      </w:pPr>
    </w:p>
    <w:p w:rsidR="000214CB" w:rsidRDefault="000214CB" w:rsidP="000214CB">
      <w:pPr>
        <w:jc w:val="center"/>
        <w:rPr>
          <w:b/>
        </w:rPr>
      </w:pPr>
    </w:p>
    <w:p w:rsidR="000214CB" w:rsidRDefault="000214CB" w:rsidP="000214CB">
      <w:pPr>
        <w:jc w:val="center"/>
        <w:rPr>
          <w:sz w:val="22"/>
          <w:szCs w:val="22"/>
        </w:rPr>
      </w:pPr>
      <w:r>
        <w:rPr>
          <w:rFonts w:ascii="Arial" w:hAnsi="Arial" w:cs="Arial"/>
          <w:b/>
          <w:sz w:val="28"/>
        </w:rPr>
        <w:t xml:space="preserve">Deadline for abstract submission: </w:t>
      </w:r>
      <w:r w:rsidR="004D18EE">
        <w:rPr>
          <w:rFonts w:ascii="Arial" w:eastAsiaTheme="minorEastAsia" w:hAnsi="Arial" w:cs="Arial" w:hint="eastAsia"/>
          <w:b/>
          <w:sz w:val="28"/>
          <w:u w:val="single"/>
          <w:lang w:eastAsia="ko-KR"/>
        </w:rPr>
        <w:t>April</w:t>
      </w:r>
      <w:r>
        <w:rPr>
          <w:rFonts w:ascii="Arial" w:eastAsia="SimSun" w:hAnsi="Arial" w:cs="Arial" w:hint="eastAsia"/>
          <w:b/>
          <w:sz w:val="28"/>
          <w:u w:val="single"/>
        </w:rPr>
        <w:t xml:space="preserve"> </w:t>
      </w:r>
      <w:r w:rsidR="004D18EE">
        <w:rPr>
          <w:rFonts w:ascii="Arial" w:eastAsiaTheme="minorEastAsia" w:hAnsi="Arial" w:cs="Arial" w:hint="eastAsia"/>
          <w:b/>
          <w:sz w:val="28"/>
          <w:u w:val="single"/>
          <w:lang w:eastAsia="ko-KR"/>
        </w:rPr>
        <w:t>15</w:t>
      </w:r>
      <w:r>
        <w:rPr>
          <w:rFonts w:ascii="Arial" w:eastAsia="SimSun" w:hAnsi="Arial" w:cs="Arial" w:hint="eastAsia"/>
          <w:b/>
          <w:sz w:val="28"/>
          <w:u w:val="single"/>
          <w:vertAlign w:val="superscript"/>
        </w:rPr>
        <w:t>st</w:t>
      </w:r>
      <w:r>
        <w:rPr>
          <w:rFonts w:ascii="Arial" w:eastAsia="SimSun" w:hAnsi="Arial" w:cs="Arial" w:hint="eastAsia"/>
          <w:b/>
          <w:sz w:val="28"/>
          <w:u w:val="single"/>
        </w:rPr>
        <w:t>,</w:t>
      </w:r>
      <w:r>
        <w:rPr>
          <w:rFonts w:ascii="Arial" w:hAnsi="Arial" w:cs="Arial"/>
          <w:b/>
          <w:sz w:val="28"/>
          <w:u w:val="single"/>
        </w:rPr>
        <w:t xml:space="preserve"> 201</w:t>
      </w:r>
      <w:r w:rsidR="004D18EE">
        <w:rPr>
          <w:rFonts w:ascii="Arial" w:eastAsiaTheme="minorEastAsia" w:hAnsi="Arial" w:cs="Arial" w:hint="eastAsia"/>
          <w:b/>
          <w:sz w:val="28"/>
          <w:u w:val="single"/>
          <w:lang w:eastAsia="ko-KR"/>
        </w:rPr>
        <w:t>8</w:t>
      </w:r>
      <w:r>
        <w:rPr>
          <w:sz w:val="20"/>
          <w:szCs w:val="20"/>
        </w:rPr>
        <w:t>.</w:t>
      </w:r>
    </w:p>
    <w:p w:rsidR="00536063" w:rsidRPr="00F32D17" w:rsidRDefault="000214CB" w:rsidP="00F32D17">
      <w:pPr>
        <w:jc w:val="center"/>
        <w:rPr>
          <w:rFonts w:ascii="Arial" w:hAnsi="Arial" w:cs="Arial"/>
          <w:b/>
          <w:sz w:val="28"/>
          <w:szCs w:val="28"/>
        </w:rPr>
      </w:pPr>
      <w:r>
        <w:rPr>
          <w:rFonts w:ascii="Arial" w:eastAsia="SimSun" w:hAnsi="Arial" w:cs="Arial"/>
          <w:b/>
          <w:bCs/>
          <w:color w:val="000000"/>
          <w:sz w:val="28"/>
          <w:szCs w:val="28"/>
        </w:rPr>
        <w:br w:type="page"/>
      </w:r>
      <w:r w:rsidR="00F32D17" w:rsidRPr="00F32D17">
        <w:rPr>
          <w:rFonts w:ascii="Arial" w:hAnsi="Arial" w:cs="Arial"/>
          <w:b/>
          <w:sz w:val="28"/>
          <w:szCs w:val="28"/>
        </w:rPr>
        <w:lastRenderedPageBreak/>
        <w:t>The relationship between cerebral oxygenation and skin blood flow at the frontal lobe during progressive hypoxia:</w:t>
      </w:r>
      <w:r w:rsidR="00F32D17">
        <w:rPr>
          <w:rFonts w:ascii="ＭＳ Ｐゴシック" w:eastAsia="ＭＳ Ｐゴシック" w:hAnsi="ＭＳ Ｐゴシック" w:cs="Arial"/>
          <w:b/>
          <w:sz w:val="28"/>
          <w:szCs w:val="28"/>
          <w:lang w:eastAsia="ja-JP"/>
        </w:rPr>
        <w:t xml:space="preserve">  </w:t>
      </w:r>
      <w:r w:rsidR="00796C7A">
        <w:rPr>
          <w:rFonts w:ascii="ＭＳ Ｐゴシック" w:eastAsia="ＭＳ Ｐゴシック" w:hAnsi="ＭＳ Ｐゴシック" w:cs="Arial"/>
          <w:b/>
          <w:sz w:val="28"/>
          <w:szCs w:val="28"/>
          <w:lang w:eastAsia="ja-JP"/>
        </w:rPr>
        <w:t xml:space="preserve">                              </w:t>
      </w:r>
      <w:r w:rsidR="00F32D17">
        <w:rPr>
          <w:rFonts w:ascii="ＭＳ Ｐゴシック" w:eastAsia="ＭＳ Ｐゴシック" w:hAnsi="ＭＳ Ｐゴシック" w:cs="Arial"/>
          <w:b/>
          <w:sz w:val="28"/>
          <w:szCs w:val="28"/>
          <w:lang w:eastAsia="ja-JP"/>
        </w:rPr>
        <w:t xml:space="preserve">     T</w:t>
      </w:r>
      <w:r w:rsidR="00F32D17" w:rsidRPr="00F32D17">
        <w:rPr>
          <w:rFonts w:ascii="Arial" w:hAnsi="Arial" w:cs="Arial"/>
          <w:b/>
          <w:sz w:val="28"/>
          <w:szCs w:val="28"/>
        </w:rPr>
        <w:t>he impact of acute hypotension</w:t>
      </w:r>
    </w:p>
    <w:p w:rsidR="00536063" w:rsidRDefault="00536063">
      <w:pPr>
        <w:rPr>
          <w:rFonts w:ascii="Arial" w:hAnsi="Arial" w:cs="Arial"/>
        </w:rPr>
      </w:pPr>
    </w:p>
    <w:p w:rsidR="00536063" w:rsidRDefault="00796C7A">
      <w:pPr>
        <w:jc w:val="center"/>
        <w:rPr>
          <w:rFonts w:ascii="Arial" w:hAnsi="Arial" w:cs="Arial"/>
        </w:rPr>
      </w:pPr>
      <w:r>
        <w:rPr>
          <w:rFonts w:ascii="Arial" w:hAnsi="Arial" w:cs="Arial"/>
          <w:b/>
        </w:rPr>
        <w:t>Masahiro Horiuchi</w:t>
      </w:r>
      <w:r w:rsidR="00A86019">
        <w:rPr>
          <w:rFonts w:ascii="Arial" w:hAnsi="Arial" w:cs="Arial"/>
          <w:b/>
          <w:vertAlign w:val="superscript"/>
        </w:rPr>
        <w:t>a</w:t>
      </w:r>
      <w:r>
        <w:rPr>
          <w:rFonts w:ascii="Arial" w:hAnsi="Arial" w:cs="Arial"/>
        </w:rPr>
        <w:t>, Junko Endo</w:t>
      </w:r>
      <w:r w:rsidR="00A86019">
        <w:rPr>
          <w:rFonts w:ascii="Arial" w:hAnsi="Arial" w:cs="Arial"/>
          <w:vertAlign w:val="superscript"/>
        </w:rPr>
        <w:t>a</w:t>
      </w:r>
      <w:r w:rsidR="00A86019">
        <w:rPr>
          <w:rFonts w:ascii="Arial" w:hAnsi="Arial" w:cs="Arial"/>
        </w:rPr>
        <w:t xml:space="preserve">, </w:t>
      </w:r>
      <w:r>
        <w:rPr>
          <w:rFonts w:ascii="Arial" w:hAnsi="Arial" w:cs="Arial"/>
        </w:rPr>
        <w:t>Yoko H-Kirihara</w:t>
      </w:r>
      <w:r>
        <w:rPr>
          <w:rFonts w:ascii="Arial" w:hAnsi="Arial" w:cs="Arial"/>
          <w:vertAlign w:val="superscript"/>
        </w:rPr>
        <w:t>a</w:t>
      </w:r>
      <w:r w:rsidR="00A86019">
        <w:rPr>
          <w:rFonts w:ascii="Arial" w:hAnsi="Arial" w:cs="Arial"/>
        </w:rPr>
        <w:t xml:space="preserve"> </w:t>
      </w:r>
    </w:p>
    <w:p w:rsidR="00536063" w:rsidRPr="009748F1" w:rsidRDefault="00536063">
      <w:pPr>
        <w:ind w:left="720"/>
        <w:rPr>
          <w:rFonts w:ascii="Arial" w:hAnsi="Arial" w:cs="Arial"/>
          <w:sz w:val="20"/>
          <w:szCs w:val="20"/>
        </w:rPr>
      </w:pPr>
    </w:p>
    <w:p w:rsidR="00536063" w:rsidRDefault="00A86019" w:rsidP="00796C7A">
      <w:pPr>
        <w:spacing w:after="0" w:line="240" w:lineRule="auto"/>
        <w:jc w:val="center"/>
        <w:rPr>
          <w:rFonts w:ascii="Arial" w:hAnsi="Arial" w:cs="Arial"/>
          <w:i/>
        </w:rPr>
      </w:pPr>
      <w:r>
        <w:rPr>
          <w:rFonts w:ascii="Arial" w:eastAsia="SimSun" w:hAnsi="Arial" w:cs="Arial" w:hint="eastAsia"/>
          <w:i/>
          <w:vertAlign w:val="superscript"/>
        </w:rPr>
        <w:t xml:space="preserve">a </w:t>
      </w:r>
      <w:r w:rsidR="00796C7A">
        <w:rPr>
          <w:rFonts w:ascii="Arial" w:hAnsi="Arial" w:cs="Arial"/>
          <w:i/>
        </w:rPr>
        <w:t>Mt. Fuji Research I</w:t>
      </w:r>
      <w:r>
        <w:rPr>
          <w:rFonts w:ascii="Arial" w:hAnsi="Arial" w:cs="Arial"/>
          <w:i/>
        </w:rPr>
        <w:t>nstitute/</w:t>
      </w:r>
      <w:r w:rsidR="00796C7A">
        <w:rPr>
          <w:rFonts w:ascii="Arial" w:hAnsi="Arial" w:cs="Arial"/>
          <w:i/>
        </w:rPr>
        <w:t>Human Environmental Science</w:t>
      </w:r>
      <w:r>
        <w:rPr>
          <w:rFonts w:ascii="Arial" w:hAnsi="Arial" w:cs="Arial"/>
          <w:i/>
        </w:rPr>
        <w:t xml:space="preserve">, </w:t>
      </w:r>
      <w:r w:rsidR="00796C7A">
        <w:rPr>
          <w:rFonts w:ascii="Arial" w:hAnsi="Arial" w:cs="Arial"/>
          <w:i/>
        </w:rPr>
        <w:t>Japan</w:t>
      </w:r>
    </w:p>
    <w:p w:rsidR="00536063" w:rsidRDefault="00536063">
      <w:pPr>
        <w:spacing w:after="0" w:line="240" w:lineRule="auto"/>
        <w:jc w:val="center"/>
        <w:rPr>
          <w:rFonts w:ascii="Arial" w:hAnsi="Arial" w:cs="Arial"/>
          <w:i/>
        </w:rPr>
      </w:pPr>
    </w:p>
    <w:p w:rsidR="00536063" w:rsidRDefault="00A86019">
      <w:pPr>
        <w:spacing w:after="0" w:line="240" w:lineRule="auto"/>
        <w:jc w:val="center"/>
        <w:rPr>
          <w:rFonts w:ascii="Arial" w:hAnsi="Arial" w:cs="Arial"/>
          <w:i/>
        </w:rPr>
      </w:pPr>
      <w:r>
        <w:rPr>
          <w:rFonts w:ascii="Arial" w:hAnsi="Arial" w:cs="Arial"/>
          <w:i/>
        </w:rPr>
        <w:t xml:space="preserve">Corresponding </w:t>
      </w:r>
      <w:r>
        <w:rPr>
          <w:rFonts w:ascii="Arial" w:hAnsi="Arial" w:cs="Arial" w:hint="eastAsia"/>
          <w:i/>
        </w:rPr>
        <w:t>a</w:t>
      </w:r>
      <w:r>
        <w:rPr>
          <w:rFonts w:ascii="Arial" w:hAnsi="Arial" w:cs="Arial"/>
          <w:i/>
        </w:rPr>
        <w:t xml:space="preserve">uthor e-mail address: </w:t>
      </w:r>
      <w:r w:rsidR="00796C7A">
        <w:rPr>
          <w:rFonts w:ascii="Arial" w:hAnsi="Arial" w:cs="Arial"/>
          <w:i/>
        </w:rPr>
        <w:t>mhoriuchi@mfri.pref.yamanashi.jp</w:t>
      </w:r>
    </w:p>
    <w:p w:rsidR="00536063" w:rsidRDefault="00536063">
      <w:pPr>
        <w:spacing w:after="0" w:line="240" w:lineRule="auto"/>
        <w:jc w:val="center"/>
        <w:rPr>
          <w:rFonts w:ascii="Arial" w:hAnsi="Arial" w:cs="Arial"/>
          <w:i/>
        </w:rPr>
      </w:pPr>
    </w:p>
    <w:p w:rsidR="00796C7A" w:rsidRPr="00796C7A" w:rsidRDefault="00A86019" w:rsidP="00796C7A">
      <w:pPr>
        <w:rPr>
          <w:rFonts w:ascii="Arial" w:hAnsi="Arial" w:cs="Arial"/>
        </w:rPr>
      </w:pPr>
      <w:r>
        <w:rPr>
          <w:rFonts w:ascii="Arial" w:eastAsia="SimSun" w:hAnsi="Arial" w:cs="Arial"/>
          <w:b/>
          <w:color w:val="000000"/>
        </w:rPr>
        <w:t>Abstract:</w:t>
      </w:r>
      <w:r w:rsidR="009748F1">
        <w:rPr>
          <w:rFonts w:ascii="Arial" w:eastAsiaTheme="minorEastAsia" w:hAnsi="Arial" w:cs="Arial" w:hint="eastAsia"/>
          <w:b/>
          <w:color w:val="000000"/>
          <w:lang w:eastAsia="ko-KR"/>
        </w:rPr>
        <w:t xml:space="preserve"> </w:t>
      </w:r>
      <w:r w:rsidR="00796C7A" w:rsidRPr="00796C7A">
        <w:rPr>
          <w:rFonts w:ascii="Arial" w:hAnsi="Arial" w:cs="Arial"/>
        </w:rPr>
        <w:t xml:space="preserve">Acute hypoxia reduces dynamic cerebral autoregulation, which can maintain cerebral oxygenation (COX) via blood flow to brain. In COX assessments with near-infrared spectroscopy (NIRS), several studies have demonstrated that it is impacted by skin blood flow (SkBF), especially, during exercise. Regardless, it is unclear if COX is impacted by SkBF at rest in hypoxia. A maintained COX in hypoxia can prevent certain high-altitude incidents, such as syncope. </w:t>
      </w:r>
      <w:r w:rsidR="00A701CA">
        <w:rPr>
          <w:rFonts w:ascii="Arial" w:hAnsi="Arial" w:cs="Arial"/>
        </w:rPr>
        <w:t>Additionally, t</w:t>
      </w:r>
      <w:r w:rsidR="00796C7A" w:rsidRPr="00796C7A">
        <w:rPr>
          <w:rFonts w:ascii="Arial" w:hAnsi="Arial" w:cs="Arial"/>
        </w:rPr>
        <w:t xml:space="preserve">he level of hypoxia that is necessary to exert COX is unclear. </w:t>
      </w:r>
      <w:r w:rsidR="00A701CA">
        <w:rPr>
          <w:rFonts w:ascii="Arial" w:hAnsi="Arial" w:cs="Arial"/>
        </w:rPr>
        <w:t xml:space="preserve">Accordingly, we evaluated COX with </w:t>
      </w:r>
      <w:r w:rsidR="00796C7A" w:rsidRPr="00796C7A">
        <w:rPr>
          <w:rFonts w:ascii="Arial" w:hAnsi="Arial" w:cs="Arial"/>
        </w:rPr>
        <w:t>NIRS and SkBF with laser Doppler flowmetry at the left frontal lobes of ten healthy young men during progressive hypoxia (</w:t>
      </w:r>
      <w:r w:rsidR="00796C7A" w:rsidRPr="00796C7A">
        <w:rPr>
          <w:rFonts w:ascii="ＭＳ ゴシック" w:eastAsia="ＭＳ ゴシック" w:hAnsi="ＭＳ ゴシック" w:cs="ＭＳ ゴシック" w:hint="eastAsia"/>
        </w:rPr>
        <w:t>∼</w:t>
      </w:r>
      <w:r w:rsidR="00796C7A" w:rsidRPr="00796C7A">
        <w:rPr>
          <w:rFonts w:ascii="Arial" w:hAnsi="Arial" w:cs="Arial"/>
        </w:rPr>
        <w:t>1 h at each of 21, 18, 15, and 12% of inspired oxygen [FiO</w:t>
      </w:r>
      <w:r w:rsidR="00796C7A" w:rsidRPr="00796C7A">
        <w:rPr>
          <w:rFonts w:ascii="Arial" w:hAnsi="Arial" w:cs="Arial"/>
          <w:vertAlign w:val="subscript"/>
        </w:rPr>
        <w:t>2</w:t>
      </w:r>
      <w:r w:rsidR="00796C7A" w:rsidRPr="00796C7A">
        <w:rPr>
          <w:rFonts w:ascii="Arial" w:hAnsi="Arial" w:cs="Arial"/>
        </w:rPr>
        <w:t>]). Acute hypotension was manipulated by the thigh-cuff-release technique, wherein the pressure of 220 mmHg was applied at both thigh muscles for three min and the cuff was immediately released to induce acute hypotension. While the resting baseline for COX before thigh-cuff release manipulation decreased gradually with the reduction of FiO</w:t>
      </w:r>
      <w:r w:rsidR="00796C7A" w:rsidRPr="00796C7A">
        <w:rPr>
          <w:rFonts w:ascii="Arial" w:hAnsi="Arial" w:cs="Arial"/>
          <w:vertAlign w:val="subscript"/>
        </w:rPr>
        <w:t xml:space="preserve">2 </w:t>
      </w:r>
      <w:r w:rsidR="00796C7A" w:rsidRPr="00796C7A">
        <w:rPr>
          <w:rFonts w:ascii="Arial" w:hAnsi="Arial" w:cs="Arial"/>
        </w:rPr>
        <w:t>(63.9% in 21% O</w:t>
      </w:r>
      <w:r w:rsidR="00796C7A" w:rsidRPr="00796C7A">
        <w:rPr>
          <w:rFonts w:ascii="Arial" w:hAnsi="Arial" w:cs="Arial"/>
          <w:vertAlign w:val="subscript"/>
        </w:rPr>
        <w:t>2</w:t>
      </w:r>
      <w:r w:rsidR="00796C7A" w:rsidRPr="00796C7A">
        <w:rPr>
          <w:rFonts w:ascii="Arial" w:hAnsi="Arial" w:cs="Arial"/>
        </w:rPr>
        <w:t xml:space="preserve"> to 52.8% in 12% O</w:t>
      </w:r>
      <w:r w:rsidR="00796C7A" w:rsidRPr="00796C7A">
        <w:rPr>
          <w:rFonts w:ascii="Arial" w:hAnsi="Arial" w:cs="Arial"/>
          <w:vertAlign w:val="subscript"/>
        </w:rPr>
        <w:t>2</w:t>
      </w:r>
      <w:r w:rsidR="00796C7A" w:rsidRPr="00796C7A">
        <w:rPr>
          <w:rFonts w:ascii="Arial" w:hAnsi="Arial" w:cs="Arial"/>
        </w:rPr>
        <w:t xml:space="preserve">, </w:t>
      </w:r>
      <w:r w:rsidR="00796C7A" w:rsidRPr="00796C7A">
        <w:rPr>
          <w:rFonts w:ascii="Arial" w:hAnsi="Arial" w:cs="Arial"/>
          <w:i/>
        </w:rPr>
        <w:t>P</w:t>
      </w:r>
      <w:r w:rsidR="00796C7A" w:rsidRPr="00796C7A">
        <w:rPr>
          <w:rFonts w:ascii="Arial" w:hAnsi="Arial" w:cs="Arial"/>
        </w:rPr>
        <w:t xml:space="preserve"> &lt; 0.05), those in SkBF were unaffected by FiO</w:t>
      </w:r>
      <w:r w:rsidR="00796C7A" w:rsidRPr="00796C7A">
        <w:rPr>
          <w:rFonts w:ascii="Arial" w:hAnsi="Arial" w:cs="Arial"/>
          <w:vertAlign w:val="subscript"/>
        </w:rPr>
        <w:t>2</w:t>
      </w:r>
      <w:r w:rsidR="00796C7A" w:rsidRPr="00796C7A">
        <w:rPr>
          <w:rFonts w:ascii="Arial" w:hAnsi="Arial" w:cs="Arial"/>
        </w:rPr>
        <w:t xml:space="preserve"> (696 ~ 786 mV across conditions, </w:t>
      </w:r>
      <w:r w:rsidR="00796C7A" w:rsidRPr="00796C7A">
        <w:rPr>
          <w:rFonts w:ascii="Arial" w:hAnsi="Arial" w:cs="Arial"/>
          <w:i/>
        </w:rPr>
        <w:t>P</w:t>
      </w:r>
      <w:r w:rsidR="00796C7A" w:rsidRPr="00796C7A">
        <w:rPr>
          <w:rFonts w:ascii="Arial" w:hAnsi="Arial" w:cs="Arial"/>
        </w:rPr>
        <w:t xml:space="preserve"> &gt; 0.05). Acute hypotension that was induced by thigh-cuff release decreased both COX, and SkBF; thereafter these values recovered toward the baseline values. However, the time course responses in these two</w:t>
      </w:r>
      <w:bookmarkStart w:id="0" w:name="_GoBack"/>
      <w:bookmarkEnd w:id="0"/>
      <w:r w:rsidR="00796C7A" w:rsidRPr="00796C7A">
        <w:rPr>
          <w:rFonts w:ascii="Arial" w:hAnsi="Arial" w:cs="Arial"/>
        </w:rPr>
        <w:t xml:space="preserve"> were different. During the hypotension phase, while the time to nadir values in COX was slowed progressively with reductions in FiO</w:t>
      </w:r>
      <w:r w:rsidR="00796C7A" w:rsidRPr="00796C7A">
        <w:rPr>
          <w:rFonts w:ascii="Arial" w:hAnsi="Arial" w:cs="Arial"/>
          <w:vertAlign w:val="subscript"/>
        </w:rPr>
        <w:t>2</w:t>
      </w:r>
      <w:r w:rsidR="00796C7A" w:rsidRPr="00796C7A">
        <w:rPr>
          <w:rFonts w:ascii="Arial" w:hAnsi="Arial" w:cs="Arial"/>
        </w:rPr>
        <w:t xml:space="preserve"> (14.8 s in 21% O</w:t>
      </w:r>
      <w:r w:rsidR="00796C7A" w:rsidRPr="00796C7A">
        <w:rPr>
          <w:rFonts w:ascii="Arial" w:hAnsi="Arial" w:cs="Arial"/>
          <w:vertAlign w:val="subscript"/>
        </w:rPr>
        <w:t>2</w:t>
      </w:r>
      <w:r w:rsidR="00796C7A" w:rsidRPr="00796C7A">
        <w:rPr>
          <w:rFonts w:ascii="Arial" w:hAnsi="Arial" w:cs="Arial"/>
        </w:rPr>
        <w:t xml:space="preserve"> to 28.5 s% in 12% O</w:t>
      </w:r>
      <w:r w:rsidR="00796C7A" w:rsidRPr="00796C7A">
        <w:rPr>
          <w:rFonts w:ascii="Arial" w:hAnsi="Arial" w:cs="Arial"/>
          <w:vertAlign w:val="subscript"/>
        </w:rPr>
        <w:t>2</w:t>
      </w:r>
      <w:r w:rsidR="00796C7A" w:rsidRPr="00796C7A">
        <w:rPr>
          <w:rFonts w:ascii="Arial" w:hAnsi="Arial" w:cs="Arial"/>
        </w:rPr>
        <w:t xml:space="preserve">, </w:t>
      </w:r>
      <w:r w:rsidR="00796C7A" w:rsidRPr="00796C7A">
        <w:rPr>
          <w:rFonts w:ascii="Arial" w:hAnsi="Arial" w:cs="Arial"/>
          <w:i/>
        </w:rPr>
        <w:t>P</w:t>
      </w:r>
      <w:r w:rsidR="00796C7A" w:rsidRPr="00796C7A">
        <w:rPr>
          <w:rFonts w:ascii="Arial" w:hAnsi="Arial" w:cs="Arial"/>
        </w:rPr>
        <w:t xml:space="preserve"> &lt; 0.05), those in SkBF were unaffected by FiO</w:t>
      </w:r>
      <w:r w:rsidR="00796C7A" w:rsidRPr="00796C7A">
        <w:rPr>
          <w:rFonts w:ascii="Arial" w:hAnsi="Arial" w:cs="Arial"/>
          <w:vertAlign w:val="subscript"/>
        </w:rPr>
        <w:t>2</w:t>
      </w:r>
      <w:r w:rsidR="00796C7A" w:rsidRPr="00796C7A">
        <w:rPr>
          <w:rFonts w:ascii="Arial" w:hAnsi="Arial" w:cs="Arial"/>
        </w:rPr>
        <w:t xml:space="preserve"> (6.2 ~ 7.3 s across conditions, </w:t>
      </w:r>
      <w:r w:rsidR="00796C7A" w:rsidRPr="00796C7A">
        <w:rPr>
          <w:rFonts w:ascii="Arial" w:hAnsi="Arial" w:cs="Arial"/>
          <w:i/>
        </w:rPr>
        <w:t>P</w:t>
      </w:r>
      <w:r w:rsidR="00796C7A" w:rsidRPr="00796C7A">
        <w:rPr>
          <w:rFonts w:ascii="Arial" w:hAnsi="Arial" w:cs="Arial"/>
        </w:rPr>
        <w:t xml:space="preserve"> &gt; 0.05). These results suggest COX may not be associated with SkBF from protocol or the present study’s subjects. </w:t>
      </w:r>
    </w:p>
    <w:p w:rsidR="00536063" w:rsidRDefault="00536063">
      <w:pPr>
        <w:ind w:left="720"/>
        <w:rPr>
          <w:rFonts w:ascii="Arial" w:hAnsi="Arial" w:cs="Arial"/>
        </w:rPr>
      </w:pPr>
    </w:p>
    <w:p w:rsidR="00D84360" w:rsidRDefault="00514F29" w:rsidP="004767E4">
      <w:pPr>
        <w:tabs>
          <w:tab w:val="left" w:pos="1418"/>
          <w:tab w:val="left" w:pos="4536"/>
        </w:tabs>
        <w:rPr>
          <w:sz w:val="22"/>
          <w:szCs w:val="22"/>
        </w:rPr>
      </w:pPr>
      <w:r>
        <w:rPr>
          <w:rFonts w:ascii="Arial" w:hAnsi="Arial" w:cs="Arial"/>
        </w:rPr>
        <w:t>I prefer:</w:t>
      </w:r>
      <w:r w:rsidR="00D84360">
        <w:rPr>
          <w:rFonts w:ascii="Arial" w:hAnsi="Arial" w:cs="Arial"/>
        </w:rPr>
        <w:tab/>
      </w:r>
      <w:r w:rsidR="0022452E">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9.5pt" o:ole="">
            <v:imagedata r:id="rId8" o:title=""/>
          </v:shape>
          <w:control r:id="rId9" w:name="OptionButton1" w:shapeid="_x0000_i1029"/>
        </w:object>
      </w:r>
      <w:r w:rsidR="00D84360">
        <w:rPr>
          <w:rFonts w:ascii="Arial" w:hAnsi="Arial" w:cs="Arial"/>
        </w:rPr>
        <w:tab/>
      </w:r>
      <w:r w:rsidR="0022452E">
        <w:rPr>
          <w:rFonts w:ascii="Arial" w:hAnsi="Arial" w:cs="Arial"/>
        </w:rPr>
        <w:object w:dxaOrig="225" w:dyaOrig="225">
          <v:shape id="_x0000_i1031" type="#_x0000_t75" style="width:148.5pt;height:19.5pt" o:ole="">
            <v:imagedata r:id="rId10" o:title=""/>
          </v:shape>
          <w:control r:id="rId11" w:name="OptionButton2" w:shapeid="_x0000_i1031"/>
        </w:object>
      </w:r>
    </w:p>
    <w:sectPr w:rsidR="00D84360"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D17" w:rsidRDefault="00F32D17" w:rsidP="004D18EE">
      <w:pPr>
        <w:spacing w:after="0" w:line="240" w:lineRule="auto"/>
      </w:pPr>
      <w:r>
        <w:separator/>
      </w:r>
    </w:p>
  </w:endnote>
  <w:endnote w:type="continuationSeparator" w:id="0">
    <w:p w:rsidR="00F32D17" w:rsidRDefault="00F32D17"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D17" w:rsidRDefault="00F32D17" w:rsidP="004D18EE">
      <w:pPr>
        <w:spacing w:after="0" w:line="240" w:lineRule="auto"/>
      </w:pPr>
      <w:r>
        <w:separator/>
      </w:r>
    </w:p>
  </w:footnote>
  <w:footnote w:type="continuationSeparator" w:id="0">
    <w:p w:rsidR="00F32D17" w:rsidRDefault="00F32D17" w:rsidP="004D1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8193"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2"/>
  </w:compat>
  <w:rsids>
    <w:rsidRoot w:val="00812CCA"/>
    <w:rsid w:val="000214CB"/>
    <w:rsid w:val="00042078"/>
    <w:rsid w:val="000B0BE9"/>
    <w:rsid w:val="00103CE4"/>
    <w:rsid w:val="001248EF"/>
    <w:rsid w:val="00182D5C"/>
    <w:rsid w:val="001E5599"/>
    <w:rsid w:val="0022452E"/>
    <w:rsid w:val="00226BCA"/>
    <w:rsid w:val="0026095E"/>
    <w:rsid w:val="002761FE"/>
    <w:rsid w:val="00282746"/>
    <w:rsid w:val="002C3083"/>
    <w:rsid w:val="00304608"/>
    <w:rsid w:val="004767E4"/>
    <w:rsid w:val="004A6398"/>
    <w:rsid w:val="004D18EE"/>
    <w:rsid w:val="004E6648"/>
    <w:rsid w:val="00514F29"/>
    <w:rsid w:val="00536063"/>
    <w:rsid w:val="00555A7D"/>
    <w:rsid w:val="006533FC"/>
    <w:rsid w:val="00653440"/>
    <w:rsid w:val="00682B60"/>
    <w:rsid w:val="00685C5F"/>
    <w:rsid w:val="006E51B7"/>
    <w:rsid w:val="006F031C"/>
    <w:rsid w:val="007109F1"/>
    <w:rsid w:val="00750E77"/>
    <w:rsid w:val="00793262"/>
    <w:rsid w:val="00796C7A"/>
    <w:rsid w:val="00812CCA"/>
    <w:rsid w:val="00856AA7"/>
    <w:rsid w:val="008727B8"/>
    <w:rsid w:val="008C0A91"/>
    <w:rsid w:val="008F1F76"/>
    <w:rsid w:val="009465E3"/>
    <w:rsid w:val="009748F1"/>
    <w:rsid w:val="00A478D2"/>
    <w:rsid w:val="00A50945"/>
    <w:rsid w:val="00A701CA"/>
    <w:rsid w:val="00A86019"/>
    <w:rsid w:val="00AE00E0"/>
    <w:rsid w:val="00B77F3F"/>
    <w:rsid w:val="00B920D5"/>
    <w:rsid w:val="00C4265A"/>
    <w:rsid w:val="00C43FF3"/>
    <w:rsid w:val="00CB5844"/>
    <w:rsid w:val="00D301FC"/>
    <w:rsid w:val="00D72A09"/>
    <w:rsid w:val="00D84360"/>
    <w:rsid w:val="00DA1FFD"/>
    <w:rsid w:val="00E2366C"/>
    <w:rsid w:val="00E946D5"/>
    <w:rsid w:val="00F32D17"/>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8193"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5:docId w15:val="{CCF1155E-EAE4-4938-81B5-FC111D5A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27B8"/>
    <w:pPr>
      <w:spacing w:after="200" w:line="276" w:lineRule="auto"/>
    </w:pPr>
    <w:rPr>
      <w:rFonts w:eastAsia="Times New Roman"/>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8727B8"/>
    <w:pPr>
      <w:spacing w:after="0" w:line="240" w:lineRule="auto"/>
    </w:pPr>
    <w:rPr>
      <w:rFonts w:ascii="Tahoma" w:hAnsi="Tahoma" w:cs="Tahoma"/>
      <w:sz w:val="16"/>
      <w:szCs w:val="16"/>
    </w:rPr>
  </w:style>
  <w:style w:type="character" w:styleId="a5">
    <w:name w:val="Hyperlink"/>
    <w:rsid w:val="008727B8"/>
    <w:rPr>
      <w:color w:val="0000FF"/>
      <w:u w:val="single"/>
    </w:rPr>
  </w:style>
  <w:style w:type="character" w:customStyle="1" w:styleId="a4">
    <w:name w:val="吹き出し (文字)"/>
    <w:link w:val="a3"/>
    <w:rsid w:val="008727B8"/>
    <w:rPr>
      <w:rFonts w:ascii="Tahoma" w:eastAsia="Times New Roman" w:hAnsi="Tahoma" w:cs="Tahoma"/>
      <w:sz w:val="16"/>
      <w:szCs w:val="16"/>
    </w:rPr>
  </w:style>
  <w:style w:type="character" w:styleId="a6">
    <w:name w:val="FollowedHyperlink"/>
    <w:basedOn w:val="a0"/>
    <w:rsid w:val="008C0A91"/>
    <w:rPr>
      <w:color w:val="800080" w:themeColor="followedHyperlink"/>
      <w:u w:val="single"/>
    </w:rPr>
  </w:style>
  <w:style w:type="paragraph" w:styleId="a7">
    <w:name w:val="header"/>
    <w:basedOn w:val="a"/>
    <w:link w:val="a8"/>
    <w:rsid w:val="004D18EE"/>
    <w:pPr>
      <w:tabs>
        <w:tab w:val="center" w:pos="4513"/>
        <w:tab w:val="right" w:pos="9026"/>
      </w:tabs>
      <w:snapToGrid w:val="0"/>
    </w:pPr>
  </w:style>
  <w:style w:type="character" w:customStyle="1" w:styleId="a8">
    <w:name w:val="ヘッダー (文字)"/>
    <w:basedOn w:val="a0"/>
    <w:link w:val="a7"/>
    <w:rsid w:val="004D18EE"/>
    <w:rPr>
      <w:rFonts w:eastAsia="Times New Roman"/>
      <w:sz w:val="24"/>
      <w:szCs w:val="24"/>
      <w:lang w:val="en-US" w:eastAsia="zh-CN"/>
    </w:rPr>
  </w:style>
  <w:style w:type="paragraph" w:styleId="a9">
    <w:name w:val="footer"/>
    <w:basedOn w:val="a"/>
    <w:link w:val="aa"/>
    <w:rsid w:val="004D18EE"/>
    <w:pPr>
      <w:tabs>
        <w:tab w:val="center" w:pos="4513"/>
        <w:tab w:val="right" w:pos="9026"/>
      </w:tabs>
      <w:snapToGrid w:val="0"/>
    </w:pPr>
  </w:style>
  <w:style w:type="character" w:customStyle="1" w:styleId="aa">
    <w:name w:val="フッター (文字)"/>
    <w:basedOn w:val="a0"/>
    <w:link w:val="a9"/>
    <w:rsid w:val="004D18EE"/>
    <w:rPr>
      <w:rFonts w:eastAsia="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2415</Characters>
  <Application>Microsoft Office Word</Application>
  <DocSecurity>0</DocSecurity>
  <Lines>20</Lines>
  <Paragraphs>5</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Title</vt:lpstr>
      <vt:lpstr>Title</vt:lpstr>
    </vt:vector>
  </TitlesOfParts>
  <Company>ITÖ/ETHZ</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Administrator</cp:lastModifiedBy>
  <cp:revision>3</cp:revision>
  <cp:lastPrinted>2012-03-06T08:56:00Z</cp:lastPrinted>
  <dcterms:created xsi:type="dcterms:W3CDTF">2018-04-12T12:07:00Z</dcterms:created>
  <dcterms:modified xsi:type="dcterms:W3CDTF">2018-04-14T07:06:00Z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