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63" w:rsidRDefault="00536063">
      <w:pPr>
        <w:ind w:left="720"/>
        <w:rPr>
          <w:rFonts w:ascii="Arial" w:hAnsi="Arial" w:cs="Arial"/>
          <w:sz w:val="28"/>
          <w:szCs w:val="28"/>
        </w:rPr>
      </w:pPr>
    </w:p>
    <w:p w:rsidR="009465E3" w:rsidRDefault="009465E3" w:rsidP="009465E3">
      <w:pPr>
        <w:rPr>
          <w:rFonts w:ascii="Arial" w:hAnsi="Arial" w:cs="Arial"/>
          <w:sz w:val="28"/>
          <w:szCs w:val="28"/>
        </w:rPr>
      </w:pPr>
    </w:p>
    <w:p w:rsidR="000214CB" w:rsidRDefault="000214CB" w:rsidP="000214CB">
      <w:pPr>
        <w:jc w:val="center"/>
        <w:rPr>
          <w:b/>
        </w:rPr>
      </w:pPr>
    </w:p>
    <w:p w:rsidR="00536063" w:rsidRDefault="000214CB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br w:type="page"/>
      </w:r>
      <w:r w:rsidR="00AB2A18">
        <w:rPr>
          <w:rFonts w:ascii="Arial" w:eastAsia="SimSun" w:hAnsi="Arial" w:cs="Arial"/>
          <w:b/>
          <w:bCs/>
          <w:color w:val="000000"/>
          <w:sz w:val="28"/>
          <w:szCs w:val="28"/>
        </w:rPr>
        <w:lastRenderedPageBreak/>
        <w:t>Fatal Alliance of Hypoxia-/HIF</w:t>
      </w:r>
      <w:r w:rsidR="00913B4D">
        <w:rPr>
          <w:rFonts w:ascii="Arial" w:eastAsia="SimSun" w:hAnsi="Arial" w:cs="Arial"/>
          <w:b/>
          <w:bCs/>
          <w:color w:val="000000"/>
          <w:sz w:val="28"/>
          <w:szCs w:val="28"/>
        </w:rPr>
        <w:t>-1-</w:t>
      </w:r>
      <w:r w:rsidR="00AB2A18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driven </w:t>
      </w:r>
      <w:proofErr w:type="spellStart"/>
      <w:r w:rsidR="00AB2A18">
        <w:rPr>
          <w:rFonts w:ascii="Arial" w:eastAsia="SimSun" w:hAnsi="Arial" w:cs="Arial"/>
          <w:b/>
          <w:bCs/>
          <w:color w:val="000000"/>
          <w:sz w:val="28"/>
          <w:szCs w:val="28"/>
        </w:rPr>
        <w:t>Microenvironmental</w:t>
      </w:r>
      <w:proofErr w:type="spellEnd"/>
      <w:r w:rsidR="00AB2A18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</w:t>
      </w:r>
      <w:r w:rsidR="00D53C81">
        <w:rPr>
          <w:rFonts w:ascii="Arial" w:eastAsia="SimSun" w:hAnsi="Arial" w:cs="Arial"/>
          <w:b/>
          <w:bCs/>
          <w:color w:val="000000"/>
          <w:sz w:val="28"/>
          <w:szCs w:val="28"/>
        </w:rPr>
        <w:t>Traits</w:t>
      </w:r>
      <w:r w:rsidR="00AB2A18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Promoting Cancer Progression and Resistance to Therapy</w:t>
      </w:r>
    </w:p>
    <w:p w:rsidR="00536063" w:rsidRDefault="00536063">
      <w:pPr>
        <w:rPr>
          <w:rFonts w:ascii="Arial" w:hAnsi="Arial" w:cs="Arial"/>
        </w:rPr>
      </w:pPr>
    </w:p>
    <w:p w:rsidR="00536063" w:rsidRDefault="00AB2A1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P. </w:t>
      </w:r>
      <w:proofErr w:type="spellStart"/>
      <w:r>
        <w:rPr>
          <w:rFonts w:ascii="Arial" w:hAnsi="Arial" w:cs="Arial"/>
          <w:b/>
        </w:rPr>
        <w:t>Vaupel</w:t>
      </w:r>
      <w:proofErr w:type="spellEnd"/>
    </w:p>
    <w:p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:rsidR="00931B2D" w:rsidRDefault="00AB2A18" w:rsidP="00AB2A18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Department of Radiation Oncology, Tumor </w:t>
      </w:r>
      <w:proofErr w:type="spellStart"/>
      <w:r>
        <w:rPr>
          <w:rFonts w:ascii="Arial" w:hAnsi="Arial" w:cs="Arial"/>
          <w:i/>
        </w:rPr>
        <w:t>Pathophysiology</w:t>
      </w:r>
      <w:proofErr w:type="spellEnd"/>
      <w:r>
        <w:rPr>
          <w:rFonts w:ascii="Arial" w:hAnsi="Arial" w:cs="Arial"/>
          <w:i/>
        </w:rPr>
        <w:t xml:space="preserve"> </w:t>
      </w:r>
      <w:r w:rsidR="00931B2D">
        <w:rPr>
          <w:rFonts w:ascii="Arial" w:hAnsi="Arial" w:cs="Arial"/>
          <w:i/>
        </w:rPr>
        <w:t>Section,</w:t>
      </w:r>
    </w:p>
    <w:p w:rsidR="00536063" w:rsidRDefault="00AB2A18" w:rsidP="00AB2A18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University Medical Center, Mainz, Germany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AB2A18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vaupel@uni-mainz.de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264A7D" w:rsidRDefault="00A86019" w:rsidP="00292032">
      <w:pPr>
        <w:spacing w:after="0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 w:rsidRPr="00635DAF">
        <w:rPr>
          <w:rFonts w:ascii="Arial" w:eastAsiaTheme="minorEastAsia" w:hAnsi="Arial" w:cs="Arial" w:hint="eastAsia"/>
          <w:color w:val="000000"/>
          <w:lang w:eastAsia="ko-KR"/>
        </w:rPr>
        <w:t xml:space="preserve"> </w:t>
      </w:r>
      <w:r w:rsidR="00635DAF" w:rsidRPr="00635DAF">
        <w:rPr>
          <w:rFonts w:ascii="Arial" w:eastAsiaTheme="minorEastAsia" w:hAnsi="Arial" w:cs="Arial"/>
          <w:color w:val="000000"/>
          <w:lang w:eastAsia="ko-KR"/>
        </w:rPr>
        <w:t>Inhospitable</w:t>
      </w:r>
      <w:r w:rsidR="00635DAF">
        <w:rPr>
          <w:rFonts w:ascii="Arial" w:eastAsiaTheme="minorEastAsia" w:hAnsi="Arial" w:cs="Arial"/>
          <w:color w:val="000000"/>
          <w:lang w:eastAsia="ko-KR"/>
        </w:rPr>
        <w:t xml:space="preserve"> </w:t>
      </w:r>
      <w:proofErr w:type="spellStart"/>
      <w:r w:rsidR="00635DAF">
        <w:rPr>
          <w:rFonts w:ascii="Arial" w:eastAsiaTheme="minorEastAsia" w:hAnsi="Arial" w:cs="Arial"/>
          <w:color w:val="000000"/>
          <w:lang w:eastAsia="ko-KR"/>
        </w:rPr>
        <w:t>microenvironmental</w:t>
      </w:r>
      <w:proofErr w:type="spellEnd"/>
      <w:r w:rsidR="00635DAF">
        <w:rPr>
          <w:rFonts w:ascii="Arial" w:eastAsiaTheme="minorEastAsia" w:hAnsi="Arial" w:cs="Arial"/>
          <w:color w:val="000000"/>
          <w:lang w:eastAsia="ko-KR"/>
        </w:rPr>
        <w:t xml:space="preserve"> conditions are a characteristic feature (“hallmark”) of most solid tumors. </w:t>
      </w:r>
      <w:r w:rsidR="00A33F8D">
        <w:rPr>
          <w:rFonts w:ascii="Arial" w:eastAsiaTheme="minorEastAsia" w:hAnsi="Arial" w:cs="Arial"/>
          <w:color w:val="000000"/>
          <w:lang w:eastAsia="ko-KR"/>
        </w:rPr>
        <w:t xml:space="preserve">Heterogeneously distributed </w:t>
      </w:r>
      <w:proofErr w:type="spellStart"/>
      <w:r w:rsidR="00A33F8D">
        <w:rPr>
          <w:rFonts w:ascii="Arial" w:eastAsiaTheme="minorEastAsia" w:hAnsi="Arial" w:cs="Arial"/>
          <w:color w:val="000000"/>
          <w:lang w:eastAsia="ko-KR"/>
        </w:rPr>
        <w:t>s</w:t>
      </w:r>
      <w:r w:rsidR="00635DAF">
        <w:rPr>
          <w:rFonts w:ascii="Arial" w:eastAsiaTheme="minorEastAsia" w:hAnsi="Arial" w:cs="Arial"/>
          <w:color w:val="000000"/>
          <w:lang w:eastAsia="ko-KR"/>
        </w:rPr>
        <w:t>ubvolumes</w:t>
      </w:r>
      <w:proofErr w:type="spellEnd"/>
      <w:r w:rsidR="00635DAF">
        <w:rPr>
          <w:rFonts w:ascii="Arial" w:eastAsiaTheme="minorEastAsia" w:hAnsi="Arial" w:cs="Arial"/>
          <w:color w:val="000000"/>
          <w:lang w:eastAsia="ko-KR"/>
        </w:rPr>
        <w:t xml:space="preserve"> of critically low oxygenation (hypoxia) is believed to be the most </w:t>
      </w:r>
      <w:r w:rsidR="00A33F8D">
        <w:rPr>
          <w:rFonts w:ascii="Arial" w:eastAsiaTheme="minorEastAsia" w:hAnsi="Arial" w:cs="Arial"/>
          <w:color w:val="000000"/>
          <w:lang w:eastAsia="ko-KR"/>
        </w:rPr>
        <w:t>crucial</w:t>
      </w:r>
      <w:r w:rsidR="00635DAF">
        <w:rPr>
          <w:rFonts w:ascii="Arial" w:eastAsiaTheme="minorEastAsia" w:hAnsi="Arial" w:cs="Arial"/>
          <w:color w:val="000000"/>
          <w:lang w:eastAsia="ko-KR"/>
        </w:rPr>
        <w:t xml:space="preserve"> deficiency, since it has been well documented to play a significant role in malignant progression, in inducing resistance to therapy and in</w:t>
      </w:r>
      <w:r w:rsidR="00A33F8D">
        <w:rPr>
          <w:rFonts w:ascii="Arial" w:eastAsiaTheme="minorEastAsia" w:hAnsi="Arial" w:cs="Arial"/>
          <w:color w:val="000000"/>
          <w:lang w:eastAsia="ko-KR"/>
        </w:rPr>
        <w:t xml:space="preserve"> the suppression of</w:t>
      </w:r>
      <w:r w:rsidR="00217557">
        <w:rPr>
          <w:rFonts w:ascii="Arial" w:eastAsiaTheme="minorEastAsia" w:hAnsi="Arial" w:cs="Arial"/>
          <w:color w:val="000000"/>
          <w:lang w:eastAsia="ko-KR"/>
        </w:rPr>
        <w:t xml:space="preserve"> antitumor immune responses (1,2). </w:t>
      </w:r>
      <w:r w:rsidR="00A33F8D">
        <w:rPr>
          <w:rFonts w:ascii="Arial" w:eastAsiaTheme="minorEastAsia" w:hAnsi="Arial" w:cs="Arial"/>
          <w:color w:val="000000"/>
          <w:lang w:eastAsia="ko-KR"/>
        </w:rPr>
        <w:t xml:space="preserve">Severe hypoxia is often associated with other detrimental </w:t>
      </w:r>
      <w:r w:rsidR="001C24B5">
        <w:rPr>
          <w:rFonts w:ascii="Arial" w:eastAsiaTheme="minorEastAsia" w:hAnsi="Arial" w:cs="Arial"/>
          <w:color w:val="000000"/>
          <w:lang w:eastAsia="ko-KR"/>
        </w:rPr>
        <w:t>c</w:t>
      </w:r>
      <w:r w:rsidR="00A33F8D">
        <w:rPr>
          <w:rFonts w:ascii="Arial" w:eastAsiaTheme="minorEastAsia" w:hAnsi="Arial" w:cs="Arial"/>
          <w:color w:val="000000"/>
          <w:lang w:eastAsia="ko-KR"/>
        </w:rPr>
        <w:t>on</w:t>
      </w:r>
      <w:r w:rsidR="001C24B5">
        <w:rPr>
          <w:rFonts w:ascii="Arial" w:eastAsiaTheme="minorEastAsia" w:hAnsi="Arial" w:cs="Arial"/>
          <w:color w:val="000000"/>
          <w:lang w:eastAsia="ko-KR"/>
        </w:rPr>
        <w:t>dit</w:t>
      </w:r>
      <w:r w:rsidR="00A33F8D">
        <w:rPr>
          <w:rFonts w:ascii="Arial" w:eastAsiaTheme="minorEastAsia" w:hAnsi="Arial" w:cs="Arial"/>
          <w:color w:val="000000"/>
          <w:lang w:eastAsia="ko-KR"/>
        </w:rPr>
        <w:t>ions in the tumor microenvironment (TME), e.g. as a consequence of hypoxia-/HIF1-in</w:t>
      </w:r>
      <w:r w:rsidR="00A3194A">
        <w:rPr>
          <w:rFonts w:ascii="Arial" w:eastAsiaTheme="minorEastAsia" w:hAnsi="Arial" w:cs="Arial"/>
          <w:color w:val="000000"/>
          <w:lang w:eastAsia="ko-KR"/>
        </w:rPr>
        <w:t xml:space="preserve">duced </w:t>
      </w:r>
      <w:r w:rsidR="00A33F8D">
        <w:rPr>
          <w:rFonts w:ascii="Arial" w:eastAsiaTheme="minorEastAsia" w:hAnsi="Arial" w:cs="Arial"/>
          <w:color w:val="000000"/>
          <w:lang w:eastAsia="ko-KR"/>
        </w:rPr>
        <w:t>metabolic reprogramming. These traits individually or collectively operate towards cancer progression. Alternatively</w:t>
      </w:r>
      <w:r w:rsidR="00E62BC7">
        <w:rPr>
          <w:rFonts w:ascii="Arial" w:eastAsiaTheme="minorEastAsia" w:hAnsi="Arial" w:cs="Arial"/>
          <w:color w:val="000000"/>
          <w:lang w:eastAsia="ko-KR"/>
        </w:rPr>
        <w:t xml:space="preserve">, </w:t>
      </w:r>
      <w:proofErr w:type="spellStart"/>
      <w:r w:rsidR="00E62BC7">
        <w:rPr>
          <w:rFonts w:ascii="Arial" w:eastAsiaTheme="minorEastAsia" w:hAnsi="Arial" w:cs="Arial"/>
          <w:color w:val="000000"/>
          <w:lang w:eastAsia="ko-KR"/>
        </w:rPr>
        <w:t>upregulation</w:t>
      </w:r>
      <w:proofErr w:type="spellEnd"/>
      <w:r w:rsidR="00E62BC7">
        <w:rPr>
          <w:rFonts w:ascii="Arial" w:eastAsiaTheme="minorEastAsia" w:hAnsi="Arial" w:cs="Arial"/>
          <w:color w:val="000000"/>
          <w:lang w:eastAsia="ko-KR"/>
        </w:rPr>
        <w:t xml:space="preserve"> of HIF-1 by </w:t>
      </w:r>
      <w:proofErr w:type="spellStart"/>
      <w:r w:rsidR="00E62BC7">
        <w:rPr>
          <w:rFonts w:ascii="Arial" w:eastAsiaTheme="minorEastAsia" w:hAnsi="Arial" w:cs="Arial"/>
          <w:color w:val="000000"/>
          <w:lang w:eastAsia="ko-KR"/>
        </w:rPr>
        <w:t>oncogene</w:t>
      </w:r>
      <w:proofErr w:type="spellEnd"/>
      <w:r w:rsidR="00E62BC7">
        <w:rPr>
          <w:rFonts w:ascii="Arial" w:eastAsiaTheme="minorEastAsia" w:hAnsi="Arial" w:cs="Arial"/>
          <w:color w:val="000000"/>
          <w:lang w:eastAsia="ko-KR"/>
        </w:rPr>
        <w:t xml:space="preserve"> activation</w:t>
      </w:r>
      <w:r w:rsidR="00264A7D">
        <w:rPr>
          <w:rFonts w:ascii="Arial" w:eastAsiaTheme="minorEastAsia" w:hAnsi="Arial" w:cs="Arial"/>
          <w:color w:val="000000"/>
          <w:lang w:eastAsia="ko-KR"/>
        </w:rPr>
        <w:t xml:space="preserve">, mutation of suppressor genes or </w:t>
      </w:r>
      <w:proofErr w:type="spellStart"/>
      <w:r w:rsidR="00264A7D">
        <w:rPr>
          <w:rFonts w:ascii="Arial" w:eastAsiaTheme="minorEastAsia" w:hAnsi="Arial" w:cs="Arial"/>
          <w:color w:val="000000"/>
          <w:lang w:eastAsia="ko-KR"/>
        </w:rPr>
        <w:t>epigenetics</w:t>
      </w:r>
      <w:proofErr w:type="spellEnd"/>
      <w:r w:rsidR="00264A7D">
        <w:rPr>
          <w:rFonts w:ascii="Arial" w:eastAsiaTheme="minorEastAsia" w:hAnsi="Arial" w:cs="Arial"/>
          <w:color w:val="000000"/>
          <w:lang w:eastAsia="ko-KR"/>
        </w:rPr>
        <w:t xml:space="preserve"> can likely provide a selective growth advantage o</w:t>
      </w:r>
      <w:r w:rsidR="006677B2">
        <w:rPr>
          <w:rFonts w:ascii="Arial" w:eastAsiaTheme="minorEastAsia" w:hAnsi="Arial" w:cs="Arial"/>
          <w:color w:val="000000"/>
          <w:lang w:eastAsia="ko-KR"/>
        </w:rPr>
        <w:t>f</w:t>
      </w:r>
      <w:r w:rsidR="00264A7D">
        <w:rPr>
          <w:rFonts w:ascii="Arial" w:eastAsiaTheme="minorEastAsia" w:hAnsi="Arial" w:cs="Arial"/>
          <w:color w:val="000000"/>
          <w:lang w:eastAsia="ko-KR"/>
        </w:rPr>
        <w:t xml:space="preserve"> cancer cells with subsequent disease progression.</w:t>
      </w:r>
    </w:p>
    <w:p w:rsidR="00A43929" w:rsidRDefault="00A3194A" w:rsidP="00292032">
      <w:pPr>
        <w:spacing w:after="0"/>
        <w:jc w:val="both"/>
        <w:rPr>
          <w:rFonts w:ascii="Arial" w:eastAsiaTheme="minorEastAsia" w:hAnsi="Arial" w:cs="Arial"/>
          <w:i/>
          <w:color w:val="000000"/>
          <w:lang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>Exemplarily, t</w:t>
      </w:r>
      <w:r w:rsidR="00264A7D">
        <w:rPr>
          <w:rFonts w:ascii="Arial" w:eastAsiaTheme="minorEastAsia" w:hAnsi="Arial" w:cs="Arial"/>
          <w:color w:val="000000"/>
          <w:lang w:eastAsia="ko-KR"/>
        </w:rPr>
        <w:t xml:space="preserve">he following </w:t>
      </w:r>
      <w:r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264A7D">
        <w:rPr>
          <w:rFonts w:ascii="Arial" w:eastAsiaTheme="minorEastAsia" w:hAnsi="Arial" w:cs="Arial"/>
          <w:color w:val="000000"/>
          <w:lang w:eastAsia="ko-KR"/>
        </w:rPr>
        <w:t>features of the TME as</w:t>
      </w:r>
      <w:r>
        <w:rPr>
          <w:rFonts w:ascii="Arial" w:eastAsiaTheme="minorEastAsia" w:hAnsi="Arial" w:cs="Arial"/>
          <w:color w:val="000000"/>
          <w:lang w:eastAsia="ko-KR"/>
        </w:rPr>
        <w:t xml:space="preserve"> key</w:t>
      </w:r>
      <w:r w:rsidR="00264A7D">
        <w:rPr>
          <w:rFonts w:ascii="Arial" w:eastAsiaTheme="minorEastAsia" w:hAnsi="Arial" w:cs="Arial"/>
          <w:color w:val="000000"/>
          <w:lang w:eastAsia="ko-KR"/>
        </w:rPr>
        <w:t xml:space="preserve"> drivers for tumor progression will be discussed: (a) </w:t>
      </w:r>
      <w:r w:rsidR="00264A7D" w:rsidRPr="006677B2">
        <w:rPr>
          <w:rFonts w:ascii="Arial" w:eastAsiaTheme="minorEastAsia" w:hAnsi="Arial" w:cs="Arial"/>
          <w:i/>
          <w:color w:val="000000"/>
          <w:lang w:eastAsia="ko-KR"/>
        </w:rPr>
        <w:t>hypoxia/HIF-1</w:t>
      </w:r>
      <w:r w:rsidR="00FF5B5E">
        <w:rPr>
          <w:rFonts w:ascii="Arial" w:eastAsiaTheme="minorEastAsia" w:hAnsi="Arial" w:cs="Arial"/>
          <w:i/>
          <w:color w:val="000000"/>
          <w:lang w:eastAsia="ko-KR"/>
        </w:rPr>
        <w:t xml:space="preserve"> </w:t>
      </w:r>
      <w:r w:rsidR="00FF5B5E" w:rsidRPr="00FF5B5E">
        <w:rPr>
          <w:rFonts w:ascii="Arial" w:eastAsiaTheme="minorEastAsia" w:hAnsi="Arial" w:cs="Arial"/>
          <w:i/>
          <w:color w:val="000000"/>
          <w:lang w:eastAsia="ko-KR"/>
        </w:rPr>
        <w:t>pathway proteins</w:t>
      </w:r>
      <w:r w:rsidR="00264A7D">
        <w:rPr>
          <w:rFonts w:ascii="Arial" w:eastAsiaTheme="minorEastAsia" w:hAnsi="Arial" w:cs="Arial"/>
          <w:color w:val="000000"/>
          <w:lang w:eastAsia="ko-KR"/>
        </w:rPr>
        <w:t xml:space="preserve">; (b) consequences of </w:t>
      </w:r>
      <w:r w:rsidR="00264A7D" w:rsidRPr="00264A7D">
        <w:rPr>
          <w:rFonts w:ascii="Arial" w:eastAsiaTheme="minorEastAsia" w:hAnsi="Arial" w:cs="Arial"/>
          <w:i/>
          <w:color w:val="000000"/>
          <w:lang w:eastAsia="ko-KR"/>
        </w:rPr>
        <w:t>metabolic reprogramming</w:t>
      </w:r>
      <w:r w:rsidR="00264A7D">
        <w:rPr>
          <w:rFonts w:ascii="Arial" w:eastAsiaTheme="minorEastAsia" w:hAnsi="Arial" w:cs="Arial"/>
          <w:color w:val="000000"/>
          <w:lang w:eastAsia="ko-KR"/>
        </w:rPr>
        <w:t xml:space="preserve">, e.g., increase in </w:t>
      </w:r>
      <w:proofErr w:type="spellStart"/>
      <w:r w:rsidR="00264A7D">
        <w:rPr>
          <w:rFonts w:ascii="Arial" w:eastAsiaTheme="minorEastAsia" w:hAnsi="Arial" w:cs="Arial"/>
          <w:color w:val="000000"/>
          <w:lang w:eastAsia="ko-KR"/>
        </w:rPr>
        <w:t>glycolytic</w:t>
      </w:r>
      <w:proofErr w:type="spellEnd"/>
      <w:r w:rsidR="00264A7D">
        <w:rPr>
          <w:rFonts w:ascii="Arial" w:eastAsiaTheme="minorEastAsia" w:hAnsi="Arial" w:cs="Arial"/>
          <w:color w:val="000000"/>
          <w:lang w:eastAsia="ko-KR"/>
        </w:rPr>
        <w:t xml:space="preserve"> flux</w:t>
      </w:r>
      <w:r w:rsidR="00264A7D" w:rsidRPr="00515583">
        <w:rPr>
          <w:rFonts w:ascii="Arial" w:eastAsiaTheme="minorEastAsia" w:hAnsi="Arial" w:cs="Arial"/>
          <w:color w:val="000000"/>
          <w:lang w:eastAsia="ko-KR"/>
        </w:rPr>
        <w:t>*</w:t>
      </w:r>
      <w:r w:rsidR="00515583">
        <w:rPr>
          <w:rFonts w:ascii="Arial" w:eastAsiaTheme="minorEastAsia" w:hAnsi="Arial" w:cs="Arial"/>
          <w:color w:val="000000"/>
          <w:lang w:eastAsia="ko-KR"/>
        </w:rPr>
        <w:t xml:space="preserve"> with lactate accumulation</w:t>
      </w:r>
      <w:r w:rsidR="00206FB1">
        <w:rPr>
          <w:rFonts w:ascii="Arial" w:eastAsiaTheme="minorEastAsia" w:hAnsi="Arial" w:cs="Arial"/>
          <w:color w:val="000000"/>
          <w:lang w:eastAsia="ko-KR"/>
        </w:rPr>
        <w:t xml:space="preserve"> up to</w:t>
      </w:r>
      <w:r w:rsidR="00A43929">
        <w:rPr>
          <w:rFonts w:ascii="Arial" w:eastAsiaTheme="minorEastAsia" w:hAnsi="Arial" w:cs="Arial"/>
          <w:color w:val="000000"/>
          <w:lang w:eastAsia="ko-KR"/>
        </w:rPr>
        <w:t xml:space="preserve"> 40</w:t>
      </w:r>
      <w:r w:rsidR="00763B16">
        <w:rPr>
          <w:rFonts w:ascii="Arial" w:eastAsiaTheme="minorEastAsia" w:hAnsi="Arial" w:cs="Arial"/>
          <w:color w:val="000000"/>
          <w:lang w:eastAsia="ko-KR"/>
        </w:rPr>
        <w:t xml:space="preserve"> </w:t>
      </w:r>
      <w:proofErr w:type="spellStart"/>
      <w:r w:rsidR="00763B16">
        <w:rPr>
          <w:rFonts w:ascii="Arial" w:eastAsiaTheme="minorEastAsia" w:hAnsi="Arial" w:cs="Arial"/>
          <w:color w:val="000000"/>
          <w:lang w:eastAsia="ko-KR"/>
        </w:rPr>
        <w:t>mM</w:t>
      </w:r>
      <w:proofErr w:type="spellEnd"/>
      <w:r w:rsidR="00206FB1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A43929">
        <w:rPr>
          <w:rFonts w:ascii="Arial" w:eastAsiaTheme="minorEastAsia" w:hAnsi="Arial" w:cs="Arial"/>
          <w:color w:val="000000"/>
          <w:lang w:eastAsia="ko-KR"/>
        </w:rPr>
        <w:t>,</w:t>
      </w:r>
      <w:r w:rsidR="00264A7D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6677B2">
        <w:rPr>
          <w:rFonts w:ascii="Arial" w:eastAsiaTheme="minorEastAsia" w:hAnsi="Arial" w:cs="Arial"/>
          <w:color w:val="000000"/>
          <w:lang w:eastAsia="ko-KR"/>
        </w:rPr>
        <w:t xml:space="preserve">increased </w:t>
      </w:r>
      <w:proofErr w:type="spellStart"/>
      <w:r w:rsidR="00264A7D">
        <w:rPr>
          <w:rFonts w:ascii="Arial" w:eastAsiaTheme="minorEastAsia" w:hAnsi="Arial" w:cs="Arial"/>
          <w:color w:val="000000"/>
          <w:lang w:eastAsia="ko-KR"/>
        </w:rPr>
        <w:t>glutaminolysis</w:t>
      </w:r>
      <w:proofErr w:type="spellEnd"/>
      <w:r w:rsidR="00264A7D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515583">
        <w:rPr>
          <w:rFonts w:ascii="Arial" w:eastAsiaTheme="minorEastAsia" w:hAnsi="Arial" w:cs="Arial"/>
          <w:color w:val="000000"/>
          <w:lang w:eastAsia="ko-KR"/>
        </w:rPr>
        <w:t xml:space="preserve">with </w:t>
      </w:r>
      <w:r w:rsidR="00264A7D">
        <w:rPr>
          <w:rFonts w:ascii="Arial" w:eastAsiaTheme="minorEastAsia" w:hAnsi="Arial" w:cs="Arial"/>
          <w:color w:val="000000"/>
          <w:lang w:eastAsia="ko-KR"/>
        </w:rPr>
        <w:t>elevated ammonia levels</w:t>
      </w:r>
      <w:r w:rsidR="00206FB1">
        <w:rPr>
          <w:rFonts w:ascii="Arial" w:eastAsiaTheme="minorEastAsia" w:hAnsi="Arial" w:cs="Arial"/>
          <w:color w:val="000000"/>
          <w:lang w:eastAsia="ko-KR"/>
        </w:rPr>
        <w:t xml:space="preserve"> up to</w:t>
      </w:r>
      <w:r w:rsidR="00763B16">
        <w:rPr>
          <w:rFonts w:ascii="Arial" w:eastAsiaTheme="minorEastAsia" w:hAnsi="Arial" w:cs="Arial"/>
          <w:color w:val="000000"/>
          <w:lang w:eastAsia="ko-KR"/>
        </w:rPr>
        <w:t xml:space="preserve"> 5 </w:t>
      </w:r>
      <w:proofErr w:type="spellStart"/>
      <w:r w:rsidR="00763B16">
        <w:rPr>
          <w:rFonts w:ascii="Arial" w:eastAsiaTheme="minorEastAsia" w:hAnsi="Arial" w:cs="Arial"/>
          <w:color w:val="000000"/>
          <w:lang w:eastAsia="ko-KR"/>
        </w:rPr>
        <w:t>mM</w:t>
      </w:r>
      <w:proofErr w:type="spellEnd"/>
      <w:r w:rsidR="00FF5B5E">
        <w:rPr>
          <w:rFonts w:ascii="Arial" w:eastAsiaTheme="minorEastAsia" w:hAnsi="Arial" w:cs="Arial"/>
          <w:color w:val="000000"/>
          <w:lang w:eastAsia="ko-KR"/>
        </w:rPr>
        <w:t xml:space="preserve">, high uptake/turnover of tryptophan and </w:t>
      </w:r>
      <w:proofErr w:type="spellStart"/>
      <w:r w:rsidR="00FF5B5E">
        <w:rPr>
          <w:rFonts w:ascii="Arial" w:eastAsiaTheme="minorEastAsia" w:hAnsi="Arial" w:cs="Arial"/>
          <w:color w:val="000000"/>
          <w:lang w:eastAsia="ko-KR"/>
        </w:rPr>
        <w:t>arginine</w:t>
      </w:r>
      <w:proofErr w:type="spellEnd"/>
      <w:r w:rsidR="004149B7">
        <w:rPr>
          <w:rFonts w:ascii="Arial" w:eastAsiaTheme="minorEastAsia" w:hAnsi="Arial" w:cs="Arial"/>
          <w:color w:val="000000"/>
          <w:lang w:eastAsia="ko-KR"/>
        </w:rPr>
        <w:t xml:space="preserve">, and declining nutrient resources; (c) </w:t>
      </w:r>
      <w:r w:rsidR="004149B7" w:rsidRPr="004149B7">
        <w:rPr>
          <w:rFonts w:ascii="Arial" w:eastAsiaTheme="minorEastAsia" w:hAnsi="Arial" w:cs="Arial"/>
          <w:i/>
          <w:color w:val="000000"/>
          <w:lang w:eastAsia="ko-KR"/>
        </w:rPr>
        <w:t>extracellular acidosis</w:t>
      </w:r>
      <w:r w:rsidR="00206FB1" w:rsidRPr="00206FB1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206FB1">
        <w:rPr>
          <w:rFonts w:ascii="Arial" w:eastAsiaTheme="minorEastAsia" w:hAnsi="Arial" w:cs="Arial"/>
          <w:color w:val="000000"/>
          <w:lang w:eastAsia="ko-KR"/>
        </w:rPr>
        <w:t>(</w:t>
      </w:r>
      <w:r w:rsidR="00206FB1" w:rsidRPr="00206FB1">
        <w:rPr>
          <w:rFonts w:ascii="Arial" w:eastAsiaTheme="minorEastAsia" w:hAnsi="Arial" w:cs="Arial"/>
          <w:color w:val="000000"/>
          <w:lang w:eastAsia="ko-KR"/>
        </w:rPr>
        <w:t>pH≤</w:t>
      </w:r>
      <w:r w:rsidR="00206FB1">
        <w:rPr>
          <w:rFonts w:ascii="Arial" w:eastAsiaTheme="minorEastAsia" w:hAnsi="Arial" w:cs="Arial"/>
          <w:color w:val="000000"/>
          <w:lang w:eastAsia="ko-KR"/>
        </w:rPr>
        <w:t xml:space="preserve"> 6.8)</w:t>
      </w:r>
      <w:r w:rsidR="004149B7">
        <w:rPr>
          <w:rFonts w:ascii="Arial" w:eastAsiaTheme="minorEastAsia" w:hAnsi="Arial" w:cs="Arial"/>
          <w:color w:val="000000"/>
          <w:lang w:eastAsia="ko-KR"/>
        </w:rPr>
        <w:t xml:space="preserve"> as a consequence of </w:t>
      </w:r>
      <w:proofErr w:type="spellStart"/>
      <w:r w:rsidR="004149B7">
        <w:rPr>
          <w:rFonts w:ascii="Arial" w:eastAsiaTheme="minorEastAsia" w:hAnsi="Arial" w:cs="Arial"/>
          <w:color w:val="000000"/>
          <w:lang w:eastAsia="ko-KR"/>
        </w:rPr>
        <w:t>upregulated</w:t>
      </w:r>
      <w:proofErr w:type="spellEnd"/>
      <w:r w:rsidR="00A43929">
        <w:rPr>
          <w:rFonts w:ascii="Arial" w:eastAsiaTheme="minorEastAsia" w:hAnsi="Arial" w:cs="Arial"/>
          <w:color w:val="000000"/>
          <w:lang w:eastAsia="ko-KR"/>
        </w:rPr>
        <w:t xml:space="preserve"> aerobic</w:t>
      </w:r>
      <w:r w:rsidR="004149B7">
        <w:rPr>
          <w:rFonts w:ascii="Arial" w:eastAsiaTheme="minorEastAsia" w:hAnsi="Arial" w:cs="Arial"/>
          <w:color w:val="000000"/>
          <w:lang w:eastAsia="ko-KR"/>
        </w:rPr>
        <w:t xml:space="preserve"> </w:t>
      </w:r>
      <w:proofErr w:type="spellStart"/>
      <w:r w:rsidR="004149B7">
        <w:rPr>
          <w:rFonts w:ascii="Arial" w:eastAsiaTheme="minorEastAsia" w:hAnsi="Arial" w:cs="Arial"/>
          <w:color w:val="000000"/>
          <w:lang w:eastAsia="ko-KR"/>
        </w:rPr>
        <w:t>glycolysis</w:t>
      </w:r>
      <w:proofErr w:type="spellEnd"/>
      <w:r w:rsidR="004149B7">
        <w:rPr>
          <w:rFonts w:ascii="Arial" w:eastAsiaTheme="minorEastAsia" w:hAnsi="Arial" w:cs="Arial"/>
          <w:color w:val="000000"/>
          <w:lang w:eastAsia="ko-KR"/>
        </w:rPr>
        <w:t xml:space="preserve"> (“Warburg effect”), ATP</w:t>
      </w:r>
      <w:r w:rsidR="00E50598">
        <w:rPr>
          <w:rFonts w:ascii="Arial" w:eastAsiaTheme="minorEastAsia" w:hAnsi="Arial" w:cs="Arial"/>
          <w:color w:val="000000"/>
          <w:lang w:eastAsia="ko-KR"/>
        </w:rPr>
        <w:t xml:space="preserve"> hydrolysis, </w:t>
      </w:r>
      <w:proofErr w:type="spellStart"/>
      <w:r w:rsidR="00E50598">
        <w:rPr>
          <w:rFonts w:ascii="Arial" w:eastAsiaTheme="minorEastAsia" w:hAnsi="Arial" w:cs="Arial"/>
          <w:color w:val="000000"/>
          <w:lang w:eastAsia="ko-KR"/>
        </w:rPr>
        <w:t>ketogenesis</w:t>
      </w:r>
      <w:proofErr w:type="spellEnd"/>
      <w:r w:rsidR="00E50598">
        <w:rPr>
          <w:rFonts w:ascii="Arial" w:eastAsiaTheme="minorEastAsia" w:hAnsi="Arial" w:cs="Arial"/>
          <w:color w:val="000000"/>
          <w:lang w:eastAsia="ko-KR"/>
        </w:rPr>
        <w:t xml:space="preserve">, </w:t>
      </w:r>
      <w:proofErr w:type="spellStart"/>
      <w:r w:rsidR="00E50598">
        <w:rPr>
          <w:rFonts w:ascii="Arial" w:eastAsiaTheme="minorEastAsia" w:hAnsi="Arial" w:cs="Arial"/>
          <w:color w:val="000000"/>
          <w:lang w:eastAsia="ko-KR"/>
        </w:rPr>
        <w:t>glutaminolysis</w:t>
      </w:r>
      <w:proofErr w:type="spellEnd"/>
      <w:r w:rsidR="00E50598">
        <w:rPr>
          <w:rFonts w:ascii="Arial" w:eastAsiaTheme="minorEastAsia" w:hAnsi="Arial" w:cs="Arial"/>
          <w:color w:val="000000"/>
          <w:lang w:eastAsia="ko-KR"/>
        </w:rPr>
        <w:t xml:space="preserve"> and CO</w:t>
      </w:r>
      <w:r w:rsidR="00E50598" w:rsidRPr="00E50598">
        <w:rPr>
          <w:rFonts w:ascii="Arial" w:eastAsiaTheme="minorEastAsia" w:hAnsi="Arial" w:cs="Arial"/>
          <w:color w:val="000000"/>
          <w:vertAlign w:val="subscript"/>
          <w:lang w:eastAsia="ko-KR"/>
        </w:rPr>
        <w:t>2</w:t>
      </w:r>
      <w:r w:rsidR="00E50598">
        <w:rPr>
          <w:rFonts w:ascii="Arial" w:eastAsiaTheme="minorEastAsia" w:hAnsi="Arial" w:cs="Arial"/>
          <w:color w:val="000000"/>
          <w:lang w:eastAsia="ko-KR"/>
        </w:rPr>
        <w:t xml:space="preserve">/carbonic acid production; (d) </w:t>
      </w:r>
      <w:r>
        <w:rPr>
          <w:rFonts w:ascii="Arial" w:eastAsiaTheme="minorEastAsia" w:hAnsi="Arial" w:cs="Arial"/>
          <w:color w:val="000000"/>
          <w:lang w:eastAsia="ko-KR"/>
        </w:rPr>
        <w:t xml:space="preserve">extracellular </w:t>
      </w:r>
      <w:r w:rsidR="000B5632" w:rsidRPr="00A3194A">
        <w:rPr>
          <w:rFonts w:ascii="Arial" w:eastAsiaTheme="minorEastAsia" w:hAnsi="Arial" w:cs="Arial"/>
          <w:i/>
          <w:color w:val="000000"/>
          <w:lang w:eastAsia="ko-KR"/>
        </w:rPr>
        <w:t>accu</w:t>
      </w:r>
      <w:r w:rsidRPr="00A3194A">
        <w:rPr>
          <w:rFonts w:ascii="Arial" w:eastAsiaTheme="minorEastAsia" w:hAnsi="Arial" w:cs="Arial"/>
          <w:i/>
          <w:color w:val="000000"/>
          <w:lang w:eastAsia="ko-KR"/>
        </w:rPr>
        <w:t>mu</w:t>
      </w:r>
      <w:r w:rsidR="000B5632" w:rsidRPr="00A3194A">
        <w:rPr>
          <w:rFonts w:ascii="Arial" w:eastAsiaTheme="minorEastAsia" w:hAnsi="Arial" w:cs="Arial"/>
          <w:i/>
          <w:color w:val="000000"/>
          <w:lang w:eastAsia="ko-KR"/>
        </w:rPr>
        <w:t>lation of adenosine</w:t>
      </w:r>
      <w:r w:rsidR="00206FB1">
        <w:rPr>
          <w:rFonts w:ascii="Arial" w:eastAsiaTheme="minorEastAsia" w:hAnsi="Arial" w:cs="Arial"/>
          <w:i/>
          <w:color w:val="000000"/>
          <w:lang w:eastAsia="ko-KR"/>
        </w:rPr>
        <w:t xml:space="preserve"> </w:t>
      </w:r>
      <w:r w:rsidR="00206FB1" w:rsidRPr="00206FB1">
        <w:rPr>
          <w:rFonts w:ascii="Arial" w:eastAsiaTheme="minorEastAsia" w:hAnsi="Arial" w:cs="Arial"/>
          <w:color w:val="000000"/>
          <w:lang w:eastAsia="ko-KR"/>
        </w:rPr>
        <w:t>up to 100</w:t>
      </w:r>
      <w:r w:rsidR="00206FB1">
        <w:rPr>
          <w:rFonts w:ascii="Arial" w:eastAsiaTheme="minorEastAsia" w:hAnsi="Arial" w:cs="Arial"/>
          <w:i/>
          <w:color w:val="000000"/>
          <w:lang w:eastAsia="ko-KR"/>
        </w:rPr>
        <w:t xml:space="preserve"> </w:t>
      </w:r>
      <w:r w:rsidR="00206FB1" w:rsidRPr="00206FB1">
        <w:rPr>
          <w:rFonts w:ascii="Arial" w:eastAsiaTheme="minorEastAsia" w:hAnsi="Arial" w:cs="Arial"/>
          <w:color w:val="000000"/>
          <w:lang w:eastAsia="ko-KR"/>
        </w:rPr>
        <w:t>µ</w:t>
      </w:r>
      <w:r w:rsidR="00206FB1">
        <w:rPr>
          <w:rFonts w:ascii="Arial" w:eastAsiaTheme="minorEastAsia" w:hAnsi="Arial" w:cs="Arial"/>
          <w:color w:val="000000"/>
          <w:lang w:eastAsia="ko-KR"/>
        </w:rPr>
        <w:t>M</w:t>
      </w:r>
      <w:r w:rsidR="00A43929">
        <w:rPr>
          <w:rFonts w:ascii="Arial" w:eastAsiaTheme="minorEastAsia" w:hAnsi="Arial" w:cs="Arial"/>
          <w:i/>
          <w:color w:val="000000"/>
          <w:lang w:eastAsia="ko-KR"/>
        </w:rPr>
        <w:t>.</w:t>
      </w:r>
    </w:p>
    <w:p w:rsidR="00A3194A" w:rsidRDefault="00A43929" w:rsidP="00292032">
      <w:pPr>
        <w:spacing w:after="0"/>
        <w:jc w:val="both"/>
        <w:rPr>
          <w:rFonts w:ascii="Arial" w:eastAsiaTheme="minorEastAsia" w:hAnsi="Arial" w:cs="Arial"/>
          <w:color w:val="000000"/>
          <w:lang w:eastAsia="ko-KR"/>
        </w:rPr>
      </w:pPr>
      <w:r w:rsidRPr="00A43929">
        <w:rPr>
          <w:rFonts w:ascii="Arial" w:eastAsiaTheme="minorEastAsia" w:hAnsi="Arial" w:cs="Arial"/>
          <w:color w:val="000000"/>
          <w:lang w:eastAsia="ko-KR"/>
        </w:rPr>
        <w:t>[</w:t>
      </w:r>
      <w:r w:rsidRPr="00A43929">
        <w:rPr>
          <w:rFonts w:ascii="Arial" w:eastAsiaTheme="minorEastAsia" w:hAnsi="Arial" w:cs="Arial"/>
          <w:b/>
          <w:i/>
          <w:color w:val="000000"/>
          <w:lang w:eastAsia="ko-KR"/>
        </w:rPr>
        <w:t>*</w:t>
      </w:r>
      <w:r w:rsidR="000B5632" w:rsidRPr="00A43929">
        <w:rPr>
          <w:rFonts w:ascii="Arial" w:eastAsiaTheme="minorEastAsia" w:hAnsi="Arial" w:cs="Arial"/>
          <w:b/>
          <w:color w:val="000000"/>
          <w:lang w:eastAsia="ko-KR"/>
        </w:rPr>
        <w:t xml:space="preserve"> </w:t>
      </w:r>
      <w:r w:rsidRPr="00A43929">
        <w:rPr>
          <w:rFonts w:ascii="Arial" w:eastAsiaTheme="minorEastAsia" w:hAnsi="Arial" w:cs="Arial"/>
          <w:color w:val="000000"/>
          <w:lang w:eastAsia="ko-KR"/>
        </w:rPr>
        <w:t>Of</w:t>
      </w:r>
      <w:r>
        <w:rPr>
          <w:rFonts w:ascii="Arial" w:eastAsiaTheme="minorEastAsia" w:hAnsi="Arial" w:cs="Arial"/>
          <w:color w:val="000000"/>
          <w:lang w:eastAsia="ko-KR"/>
        </w:rPr>
        <w:t xml:space="preserve"> note, although aerobic </w:t>
      </w:r>
      <w:proofErr w:type="spellStart"/>
      <w:r>
        <w:rPr>
          <w:rFonts w:ascii="Arial" w:eastAsiaTheme="minorEastAsia" w:hAnsi="Arial" w:cs="Arial"/>
          <w:color w:val="000000"/>
          <w:lang w:eastAsia="ko-KR"/>
        </w:rPr>
        <w:t>glycolysis</w:t>
      </w:r>
      <w:proofErr w:type="spellEnd"/>
      <w:r>
        <w:rPr>
          <w:rFonts w:ascii="Arial" w:eastAsiaTheme="minorEastAsia" w:hAnsi="Arial" w:cs="Arial"/>
          <w:color w:val="000000"/>
          <w:lang w:eastAsia="ko-KR"/>
        </w:rPr>
        <w:t xml:space="preserve"> yields less ATP than OXPHOS (2 vs. 36-38 molecule</w:t>
      </w:r>
      <w:r w:rsidR="00612443">
        <w:rPr>
          <w:rFonts w:ascii="Arial" w:eastAsiaTheme="minorEastAsia" w:hAnsi="Arial" w:cs="Arial"/>
          <w:color w:val="000000"/>
          <w:lang w:eastAsia="ko-KR"/>
        </w:rPr>
        <w:t>s</w:t>
      </w:r>
      <w:r>
        <w:rPr>
          <w:rFonts w:ascii="Arial" w:eastAsiaTheme="minorEastAsia" w:hAnsi="Arial" w:cs="Arial"/>
          <w:color w:val="000000"/>
          <w:lang w:eastAsia="ko-KR"/>
        </w:rPr>
        <w:t xml:space="preserve">), the </w:t>
      </w:r>
      <w:proofErr w:type="spellStart"/>
      <w:r>
        <w:rPr>
          <w:rFonts w:ascii="Arial" w:eastAsiaTheme="minorEastAsia" w:hAnsi="Arial" w:cs="Arial"/>
          <w:color w:val="000000"/>
          <w:lang w:eastAsia="ko-KR"/>
        </w:rPr>
        <w:t>glycolytic</w:t>
      </w:r>
      <w:proofErr w:type="spellEnd"/>
      <w:r>
        <w:rPr>
          <w:rFonts w:ascii="Arial" w:eastAsiaTheme="minorEastAsia" w:hAnsi="Arial" w:cs="Arial"/>
          <w:color w:val="000000"/>
          <w:lang w:eastAsia="ko-KR"/>
        </w:rPr>
        <w:t xml:space="preserve"> flux allows rapid production of ATP since the speed of ATP generation is approx. 100-times faster than in OXPHOS.]</w:t>
      </w:r>
    </w:p>
    <w:p w:rsidR="00A43929" w:rsidRPr="00A43929" w:rsidRDefault="00A43929">
      <w:pPr>
        <w:spacing w:after="0" w:line="240" w:lineRule="auto"/>
        <w:jc w:val="both"/>
        <w:rPr>
          <w:rFonts w:ascii="Arial" w:eastAsiaTheme="minorEastAsia" w:hAnsi="Arial" w:cs="Arial"/>
          <w:b/>
          <w:color w:val="000000"/>
          <w:lang w:eastAsia="ko-KR"/>
        </w:rPr>
      </w:pPr>
    </w:p>
    <w:p w:rsidR="00536063" w:rsidRDefault="00A86019" w:rsidP="0021755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References</w:t>
      </w:r>
      <w:r w:rsidR="00217557">
        <w:rPr>
          <w:rFonts w:ascii="Arial" w:hAnsi="Arial" w:cs="Arial"/>
        </w:rPr>
        <w:t>: (1)</w:t>
      </w:r>
      <w:r>
        <w:rPr>
          <w:rFonts w:ascii="Arial" w:hAnsi="Arial" w:cs="Arial"/>
        </w:rPr>
        <w:t xml:space="preserve"> </w:t>
      </w:r>
      <w:r w:rsidR="007E19FE">
        <w:rPr>
          <w:rFonts w:ascii="Arial" w:hAnsi="Arial" w:cs="Arial"/>
        </w:rPr>
        <w:t xml:space="preserve">Mayer A, </w:t>
      </w:r>
      <w:proofErr w:type="spellStart"/>
      <w:r w:rsidR="007E19FE">
        <w:rPr>
          <w:rFonts w:ascii="Arial" w:hAnsi="Arial" w:cs="Arial"/>
        </w:rPr>
        <w:t>Vaupel</w:t>
      </w:r>
      <w:proofErr w:type="spellEnd"/>
      <w:r w:rsidR="007E19FE">
        <w:rPr>
          <w:rFonts w:ascii="Arial" w:hAnsi="Arial" w:cs="Arial"/>
        </w:rPr>
        <w:t xml:space="preserve"> P (2013) Hypoxia, lactate accumulation, and acidosis</w:t>
      </w:r>
      <w:r w:rsidR="00217557">
        <w:rPr>
          <w:rFonts w:ascii="Arial" w:hAnsi="Arial" w:cs="Arial"/>
        </w:rPr>
        <w:t xml:space="preserve">: Siblings or accomplices driving tumor progression and resistance to therapy? Adv. Exp. Med. Biol. </w:t>
      </w:r>
      <w:r w:rsidR="00217557" w:rsidRPr="00270ACD">
        <w:rPr>
          <w:rFonts w:ascii="Arial" w:hAnsi="Arial" w:cs="Arial"/>
          <w:i/>
        </w:rPr>
        <w:t>789</w:t>
      </w:r>
      <w:r w:rsidR="00217557">
        <w:rPr>
          <w:rFonts w:ascii="Arial" w:hAnsi="Arial" w:cs="Arial"/>
        </w:rPr>
        <w:t xml:space="preserve">: 203 - 209. (2) </w:t>
      </w:r>
      <w:proofErr w:type="spellStart"/>
      <w:r w:rsidR="00217557">
        <w:rPr>
          <w:rFonts w:ascii="Arial" w:hAnsi="Arial" w:cs="Arial"/>
        </w:rPr>
        <w:t>Vaupel</w:t>
      </w:r>
      <w:proofErr w:type="spellEnd"/>
      <w:r w:rsidR="00217557">
        <w:rPr>
          <w:rFonts w:ascii="Arial" w:hAnsi="Arial" w:cs="Arial"/>
        </w:rPr>
        <w:t xml:space="preserve"> P, </w:t>
      </w:r>
      <w:proofErr w:type="spellStart"/>
      <w:r w:rsidR="00217557">
        <w:rPr>
          <w:rFonts w:ascii="Arial" w:hAnsi="Arial" w:cs="Arial"/>
        </w:rPr>
        <w:t>Multhoff</w:t>
      </w:r>
      <w:proofErr w:type="spellEnd"/>
      <w:r w:rsidR="007A38F4">
        <w:rPr>
          <w:rFonts w:ascii="Arial" w:hAnsi="Arial" w:cs="Arial"/>
        </w:rPr>
        <w:t xml:space="preserve"> G.</w:t>
      </w:r>
      <w:r w:rsidR="00217557">
        <w:rPr>
          <w:rFonts w:ascii="Arial" w:hAnsi="Arial" w:cs="Arial"/>
        </w:rPr>
        <w:t xml:space="preserve"> (2018) Hypoxia-/HIF1α driven factors of the tumor microenvironment impeding antitumor immune responses and promoting ma</w:t>
      </w:r>
      <w:r w:rsidR="001C24B5">
        <w:rPr>
          <w:rFonts w:ascii="Arial" w:hAnsi="Arial" w:cs="Arial"/>
        </w:rPr>
        <w:t>li</w:t>
      </w:r>
      <w:r w:rsidR="00217557">
        <w:rPr>
          <w:rFonts w:ascii="Arial" w:hAnsi="Arial" w:cs="Arial"/>
        </w:rPr>
        <w:t xml:space="preserve">gnant progression. </w:t>
      </w:r>
      <w:proofErr w:type="gramStart"/>
      <w:r w:rsidR="00217557">
        <w:rPr>
          <w:rFonts w:ascii="Arial" w:hAnsi="Arial" w:cs="Arial"/>
        </w:rPr>
        <w:t>Adv.</w:t>
      </w:r>
      <w:r w:rsidR="001C24B5">
        <w:rPr>
          <w:rFonts w:ascii="Arial" w:hAnsi="Arial" w:cs="Arial"/>
        </w:rPr>
        <w:t xml:space="preserve"> </w:t>
      </w:r>
      <w:r w:rsidR="00217557">
        <w:rPr>
          <w:rFonts w:ascii="Arial" w:hAnsi="Arial" w:cs="Arial"/>
        </w:rPr>
        <w:t>Exp. Med.</w:t>
      </w:r>
      <w:r w:rsidR="001C24B5">
        <w:rPr>
          <w:rFonts w:ascii="Arial" w:hAnsi="Arial" w:cs="Arial"/>
        </w:rPr>
        <w:t xml:space="preserve"> </w:t>
      </w:r>
      <w:r w:rsidR="00217557">
        <w:rPr>
          <w:rFonts w:ascii="Arial" w:hAnsi="Arial" w:cs="Arial"/>
        </w:rPr>
        <w:t>Biol. (in press).</w:t>
      </w:r>
      <w:proofErr w:type="gramEnd"/>
      <w:r w:rsidR="00217557">
        <w:rPr>
          <w:rFonts w:ascii="Arial" w:hAnsi="Arial" w:cs="Arial"/>
        </w:rPr>
        <w:t xml:space="preserve"> </w:t>
      </w:r>
    </w:p>
    <w:p w:rsidR="001C24B5" w:rsidRDefault="001C24B5" w:rsidP="00217557">
      <w:pPr>
        <w:spacing w:after="0" w:line="240" w:lineRule="auto"/>
        <w:jc w:val="both"/>
        <w:rPr>
          <w:rFonts w:ascii="Arial" w:hAnsi="Arial" w:cs="Arial"/>
        </w:rPr>
      </w:pPr>
    </w:p>
    <w:p w:rsidR="00217557" w:rsidRDefault="00217557" w:rsidP="00217557">
      <w:pPr>
        <w:spacing w:after="0" w:line="240" w:lineRule="auto"/>
        <w:jc w:val="both"/>
        <w:rPr>
          <w:rFonts w:ascii="Arial" w:hAnsi="Arial" w:cs="Arial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bookmarkStart w:id="0" w:name="_GoBack"/>
      <w:r w:rsidR="00150BEA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9.5pt" o:ole="">
            <v:imagedata r:id="rId9" o:title=""/>
          </v:shape>
          <w:control r:id="rId10" w:name="OptionButton1" w:shapeid="_x0000_i1029"/>
        </w:object>
      </w:r>
      <w:bookmarkEnd w:id="0"/>
      <w:r w:rsidR="00D84360">
        <w:rPr>
          <w:rFonts w:ascii="Arial" w:hAnsi="Arial" w:cs="Arial"/>
        </w:rPr>
        <w:tab/>
      </w:r>
      <w:r w:rsidR="00150BEA">
        <w:rPr>
          <w:rFonts w:ascii="Arial" w:hAnsi="Arial" w:cs="Arial"/>
        </w:rPr>
        <w:object w:dxaOrig="225" w:dyaOrig="225">
          <v:shape id="_x0000_i1031" type="#_x0000_t75" style="width:148.5pt;height:19.5pt" o:ole="">
            <v:imagedata r:id="rId11" o:title=""/>
          </v:shape>
          <w:control r:id="rId12" w:name="OptionButton2" w:shapeid="_x0000_i1031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812CCA"/>
    <w:rsid w:val="000214CB"/>
    <w:rsid w:val="00042078"/>
    <w:rsid w:val="000B0BE9"/>
    <w:rsid w:val="000B5632"/>
    <w:rsid w:val="00103CE4"/>
    <w:rsid w:val="001248EF"/>
    <w:rsid w:val="00150BEA"/>
    <w:rsid w:val="00182D5C"/>
    <w:rsid w:val="001C24B5"/>
    <w:rsid w:val="001E5599"/>
    <w:rsid w:val="00206FB1"/>
    <w:rsid w:val="00217557"/>
    <w:rsid w:val="0022452E"/>
    <w:rsid w:val="00226BCA"/>
    <w:rsid w:val="0026095E"/>
    <w:rsid w:val="00264A7D"/>
    <w:rsid w:val="00270ACD"/>
    <w:rsid w:val="002761FE"/>
    <w:rsid w:val="00282746"/>
    <w:rsid w:val="00292032"/>
    <w:rsid w:val="002C3083"/>
    <w:rsid w:val="00304608"/>
    <w:rsid w:val="004149B7"/>
    <w:rsid w:val="004767E4"/>
    <w:rsid w:val="004A6398"/>
    <w:rsid w:val="004D18EE"/>
    <w:rsid w:val="004E6648"/>
    <w:rsid w:val="00514F29"/>
    <w:rsid w:val="00515583"/>
    <w:rsid w:val="00536063"/>
    <w:rsid w:val="00555A7D"/>
    <w:rsid w:val="00612443"/>
    <w:rsid w:val="00635DAF"/>
    <w:rsid w:val="0065052C"/>
    <w:rsid w:val="006533FC"/>
    <w:rsid w:val="00653440"/>
    <w:rsid w:val="006677B2"/>
    <w:rsid w:val="00682B60"/>
    <w:rsid w:val="00685C5F"/>
    <w:rsid w:val="006E51B7"/>
    <w:rsid w:val="006F031C"/>
    <w:rsid w:val="007109F1"/>
    <w:rsid w:val="00750E77"/>
    <w:rsid w:val="00763B16"/>
    <w:rsid w:val="00793262"/>
    <w:rsid w:val="007A38F4"/>
    <w:rsid w:val="007E19FE"/>
    <w:rsid w:val="00812CCA"/>
    <w:rsid w:val="00856AA7"/>
    <w:rsid w:val="008727B8"/>
    <w:rsid w:val="008C0A91"/>
    <w:rsid w:val="008F1F76"/>
    <w:rsid w:val="00913B4D"/>
    <w:rsid w:val="00931B2D"/>
    <w:rsid w:val="009465E3"/>
    <w:rsid w:val="009748F1"/>
    <w:rsid w:val="00A3194A"/>
    <w:rsid w:val="00A33F8D"/>
    <w:rsid w:val="00A43929"/>
    <w:rsid w:val="00A478D2"/>
    <w:rsid w:val="00A50945"/>
    <w:rsid w:val="00A86019"/>
    <w:rsid w:val="00AB2A18"/>
    <w:rsid w:val="00AE00E0"/>
    <w:rsid w:val="00B77F3F"/>
    <w:rsid w:val="00B920D5"/>
    <w:rsid w:val="00C4265A"/>
    <w:rsid w:val="00C43FF3"/>
    <w:rsid w:val="00CB5844"/>
    <w:rsid w:val="00CF6CA2"/>
    <w:rsid w:val="00D301FC"/>
    <w:rsid w:val="00D53C81"/>
    <w:rsid w:val="00D72A09"/>
    <w:rsid w:val="00D84360"/>
    <w:rsid w:val="00DA1FFD"/>
    <w:rsid w:val="00E2366C"/>
    <w:rsid w:val="00E50598"/>
    <w:rsid w:val="00E62BC7"/>
    <w:rsid w:val="00E946D5"/>
    <w:rsid w:val="00F23270"/>
    <w:rsid w:val="00F923D0"/>
    <w:rsid w:val="00FF5B5E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sid w:val="008727B8"/>
    <w:rPr>
      <w:color w:val="0000FF"/>
      <w:u w:val="single"/>
    </w:rPr>
  </w:style>
  <w:style w:type="character" w:customStyle="1" w:styleId="SprechblasentextZchn">
    <w:name w:val="Sprechblasentext Zchn"/>
    <w:link w:val="Sprechblasentext"/>
    <w:rsid w:val="008727B8"/>
    <w:rPr>
      <w:rFonts w:ascii="Tahoma" w:eastAsia="Times New Roman" w:hAnsi="Tahoma" w:cs="Tahoma"/>
      <w:sz w:val="16"/>
      <w:szCs w:val="16"/>
    </w:rPr>
  </w:style>
  <w:style w:type="character" w:styleId="BesuchterHyperlink">
    <w:name w:val="FollowedHyperlink"/>
    <w:basedOn w:val="Absatz-Standardschriftart"/>
    <w:rsid w:val="008C0A91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KopfzeileZchn">
    <w:name w:val="Kopfzeile Zchn"/>
    <w:basedOn w:val="Absatz-Standardschriftart"/>
    <w:link w:val="Kopfzeile"/>
    <w:rsid w:val="004D18EE"/>
    <w:rPr>
      <w:rFonts w:eastAsia="Times New Roman"/>
      <w:sz w:val="24"/>
      <w:szCs w:val="24"/>
      <w:lang w:val="en-US" w:eastAsia="zh-CN"/>
    </w:rPr>
  </w:style>
  <w:style w:type="paragraph" w:styleId="Fuzeile">
    <w:name w:val="footer"/>
    <w:basedOn w:val="Standard"/>
    <w:link w:val="FuzeileZchn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uzeileZchn">
    <w:name w:val="Fußzeile Zchn"/>
    <w:basedOn w:val="Absatz-Standardschriftart"/>
    <w:link w:val="Fuzeile"/>
    <w:rsid w:val="004D18EE"/>
    <w:rPr>
      <w:rFonts w:eastAsia="Times New Roman"/>
      <w:sz w:val="24"/>
      <w:szCs w:val="24"/>
      <w:lang w:val="en-US" w:eastAsia="zh-CN"/>
    </w:rPr>
  </w:style>
  <w:style w:type="character" w:styleId="Platzhaltertext">
    <w:name w:val="Placeholder Text"/>
    <w:basedOn w:val="Absatz-Standardschriftart"/>
    <w:uiPriority w:val="99"/>
    <w:unhideWhenUsed/>
    <w:rsid w:val="00AB2A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SprechblasentextZchn">
    <w:name w:val="Sprechblasentext Zchn"/>
    <w:link w:val="Sprechblasentext"/>
    <w:rPr>
      <w:rFonts w:ascii="Tahoma" w:eastAsia="Times New Roman" w:hAnsi="Tahoma" w:cs="Tahoma"/>
      <w:sz w:val="16"/>
      <w:szCs w:val="16"/>
    </w:rPr>
  </w:style>
  <w:style w:type="character" w:styleId="BesuchterHyperlink">
    <w:name w:val="FollowedHyperlink"/>
    <w:basedOn w:val="Absatz-Standardschriftart"/>
    <w:rsid w:val="008C0A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74A05-E324-4816-A561-C6932D63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ITÖ/ETHZ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Lieselotte Vaupel</cp:lastModifiedBy>
  <cp:revision>6</cp:revision>
  <cp:lastPrinted>2018-04-07T14:44:00Z</cp:lastPrinted>
  <dcterms:created xsi:type="dcterms:W3CDTF">2018-04-07T12:13:00Z</dcterms:created>
  <dcterms:modified xsi:type="dcterms:W3CDTF">2018-04-07T14:50:00Z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