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5F8" w:rsidRPr="00305664" w:rsidRDefault="000E05F8" w:rsidP="00305664">
      <w:pPr>
        <w:shd w:val="clear" w:color="auto" w:fill="FFFFFF"/>
        <w:spacing w:after="225" w:line="270" w:lineRule="atLeast"/>
        <w:jc w:val="center"/>
        <w:rPr>
          <w:rFonts w:ascii="Arial" w:eastAsia="SimSun" w:hAnsi="Arial" w:cs="Arial" w:hint="eastAsia"/>
        </w:rPr>
      </w:pPr>
      <w:r w:rsidRPr="000E05F8">
        <w:rPr>
          <w:rFonts w:ascii="Arial" w:eastAsia="SimSun" w:hAnsi="Arial" w:cs="Arial"/>
          <w:bCs/>
          <w:color w:val="000000"/>
          <w:sz w:val="28"/>
          <w:szCs w:val="28"/>
        </w:rPr>
        <w:t>Reference valu</w:t>
      </w:r>
      <w:bookmarkStart w:id="0" w:name="_GoBack"/>
      <w:bookmarkEnd w:id="0"/>
      <w:r w:rsidRPr="000E05F8">
        <w:rPr>
          <w:rFonts w:ascii="Arial" w:eastAsia="SimSun" w:hAnsi="Arial" w:cs="Arial"/>
          <w:bCs/>
          <w:color w:val="000000"/>
          <w:sz w:val="28"/>
          <w:szCs w:val="28"/>
        </w:rPr>
        <w:t>e of brain tissue oxygen saturation in newborns immediately after birth</w:t>
      </w:r>
    </w:p>
    <w:p w:rsidR="000E05F8" w:rsidRPr="00343F69" w:rsidRDefault="000E05F8" w:rsidP="000E05F8">
      <w:pPr>
        <w:jc w:val="center"/>
        <w:rPr>
          <w:rFonts w:ascii="Arial" w:hAnsi="Arial" w:cs="Arial"/>
        </w:rPr>
      </w:pPr>
      <w:r w:rsidRPr="00343F69">
        <w:rPr>
          <w:rFonts w:ascii="ＭＳ Ｐゴシック" w:eastAsia="ＭＳ Ｐゴシック" w:hAnsi="ＭＳ Ｐゴシック" w:cs="Arial" w:hint="eastAsia"/>
          <w:lang w:eastAsia="ja-JP"/>
        </w:rPr>
        <w:t>Ryota</w:t>
      </w:r>
      <w:r w:rsidRPr="00343F69">
        <w:rPr>
          <w:rFonts w:ascii="Arial" w:hAnsi="Arial" w:cs="Arial"/>
        </w:rPr>
        <w:t xml:space="preserve"> Kato,</w:t>
      </w:r>
      <w:r w:rsidRPr="00343F69">
        <w:rPr>
          <w:rFonts w:ascii="ＭＳ Ｐゴシック" w:eastAsia="ＭＳ Ｐゴシック" w:hAnsi="ＭＳ Ｐゴシック" w:cs="Arial" w:hint="eastAsia"/>
          <w:lang w:eastAsia="ja-JP"/>
        </w:rPr>
        <w:t xml:space="preserve"> </w:t>
      </w:r>
      <w:r w:rsidRPr="00343F69">
        <w:rPr>
          <w:rFonts w:ascii="ＭＳ Ｐゴシック" w:eastAsia="ＭＳ Ｐゴシック" w:hAnsi="ＭＳ Ｐゴシック" w:cs="Arial"/>
          <w:lang w:eastAsia="ja-JP"/>
        </w:rPr>
        <w:t xml:space="preserve">Shigeharu Hosono, Syori Takahashi </w:t>
      </w:r>
    </w:p>
    <w:p w:rsidR="00536063" w:rsidRPr="00343F69" w:rsidRDefault="00343F69" w:rsidP="00343F69">
      <w:pPr>
        <w:ind w:left="720"/>
        <w:jc w:val="center"/>
        <w:rPr>
          <w:rFonts w:ascii="Arial" w:hAnsi="Arial" w:cs="Arial"/>
          <w:i/>
          <w:sz w:val="22"/>
          <w:szCs w:val="22"/>
        </w:rPr>
      </w:pPr>
      <w:r w:rsidRPr="00343F69">
        <w:rPr>
          <w:rFonts w:ascii="Arial" w:hAnsi="Arial" w:cs="Arial"/>
          <w:i/>
          <w:sz w:val="22"/>
          <w:szCs w:val="22"/>
        </w:rPr>
        <w:t>Department of Pediatrics and Child Health,</w:t>
      </w:r>
      <w:r w:rsidRPr="00343F69">
        <w:rPr>
          <w:rFonts w:ascii="Arial" w:hAnsi="Arial" w:cs="Arial"/>
          <w:i/>
          <w:sz w:val="22"/>
          <w:szCs w:val="22"/>
        </w:rPr>
        <w:t xml:space="preserve"> </w:t>
      </w:r>
      <w:r w:rsidRPr="00343F69">
        <w:rPr>
          <w:rFonts w:ascii="Arial" w:hAnsi="Arial" w:cs="Arial"/>
          <w:i/>
          <w:sz w:val="22"/>
          <w:szCs w:val="22"/>
        </w:rPr>
        <w:t>Nihon University School of Medicine</w:t>
      </w:r>
      <w:r w:rsidRPr="00343F69">
        <w:rPr>
          <w:rFonts w:ascii="Arial" w:hAnsi="Arial" w:cs="Arial"/>
          <w:i/>
          <w:sz w:val="22"/>
          <w:szCs w:val="22"/>
        </w:rPr>
        <w:t>, Japan</w:t>
      </w:r>
    </w:p>
    <w:p w:rsidR="00536063" w:rsidRPr="00343F69" w:rsidRDefault="007E2327">
      <w:pPr>
        <w:spacing w:after="0" w:line="240" w:lineRule="auto"/>
        <w:jc w:val="center"/>
        <w:rPr>
          <w:rFonts w:ascii="Arial" w:eastAsia="ＭＳ Ｐゴシック" w:hAnsi="Arial" w:cs="Arial" w:hint="eastAsia"/>
          <w:i/>
          <w:lang w:eastAsia="ja-JP"/>
        </w:rPr>
      </w:pPr>
      <w:r>
        <w:rPr>
          <w:rFonts w:ascii="Arial" w:eastAsia="ＭＳ Ｐゴシック" w:hAnsi="Arial" w:cs="Arial"/>
          <w:i/>
          <w:lang w:eastAsia="ja-JP"/>
        </w:rPr>
        <w:t>E-mail ad</w:t>
      </w:r>
      <w:r w:rsidR="00CC36F0">
        <w:rPr>
          <w:rFonts w:ascii="Arial" w:eastAsia="ＭＳ Ｐゴシック" w:hAnsi="Arial" w:cs="Arial"/>
          <w:i/>
          <w:lang w:eastAsia="ja-JP"/>
        </w:rPr>
        <w:t>d</w:t>
      </w:r>
      <w:r>
        <w:rPr>
          <w:rFonts w:ascii="Arial" w:eastAsia="ＭＳ Ｐゴシック" w:hAnsi="Arial" w:cs="Arial"/>
          <w:i/>
          <w:lang w:eastAsia="ja-JP"/>
        </w:rPr>
        <w:t>ress:</w:t>
      </w:r>
      <w:r w:rsidR="00343F69">
        <w:rPr>
          <w:rFonts w:ascii="Arial" w:eastAsia="ＭＳ Ｐゴシック" w:hAnsi="Arial" w:cs="Arial"/>
          <w:i/>
          <w:lang w:eastAsia="ja-JP"/>
        </w:rPr>
        <w:t>rstype0@gmail.com</w:t>
      </w:r>
    </w:p>
    <w:p w:rsidR="00536063" w:rsidRPr="00CC36F0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0E05F8" w:rsidRDefault="00A86019" w:rsidP="000E05F8">
      <w:pPr>
        <w:spacing w:after="0" w:line="240" w:lineRule="auto"/>
        <w:jc w:val="both"/>
        <w:rPr>
          <w:rFonts w:ascii="Arial" w:eastAsia="SimSun" w:hAnsi="Arial" w:cs="Arial"/>
          <w:b/>
          <w:color w:val="000000"/>
        </w:rPr>
      </w:pPr>
      <w:r>
        <w:rPr>
          <w:rFonts w:ascii="Arial" w:eastAsia="SimSun" w:hAnsi="Arial" w:cs="Arial"/>
          <w:b/>
          <w:color w:val="000000"/>
        </w:rPr>
        <w:t>Abstract</w:t>
      </w:r>
    </w:p>
    <w:p w:rsidR="00536063" w:rsidRPr="000E05F8" w:rsidRDefault="000E05F8" w:rsidP="000E05F8">
      <w:pPr>
        <w:spacing w:after="0" w:line="240" w:lineRule="auto"/>
        <w:jc w:val="both"/>
        <w:rPr>
          <w:rFonts w:ascii="Arial" w:eastAsia="SimSun" w:hAnsi="Arial" w:cs="Arial"/>
          <w:color w:val="000000"/>
          <w:sz w:val="22"/>
          <w:szCs w:val="22"/>
        </w:rPr>
      </w:pPr>
      <w:r w:rsidRPr="000E05F8">
        <w:rPr>
          <w:rFonts w:ascii="Arial" w:eastAsia="SimSun" w:hAnsi="Arial" w:cs="Arial"/>
          <w:color w:val="000000"/>
          <w:sz w:val="22"/>
          <w:szCs w:val="22"/>
        </w:rPr>
        <w:t>【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Objective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】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The Consensus on Resuscitation Science and Treatment Recommendations indicate the target SpO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values during the first 10 min of life</w:t>
      </w:r>
      <w:r w:rsidR="00305664">
        <w:rPr>
          <w:rFonts w:ascii="Arial" w:eastAsia="SimSun" w:hAnsi="Arial" w:cs="Arial"/>
          <w:color w:val="000000"/>
          <w:sz w:val="22"/>
          <w:szCs w:val="22"/>
        </w:rPr>
        <w:t>. H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owever, there are many cases in which SpO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cannot be measured immediately after birth. Although there are a few studies of the brain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values in newborns, the changes in brain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levels immediately after birth are still unknown, and no reference value has been determined. The purpose of this study was to develop reference values for brain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up to 10 minutes after birth.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【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Method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】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We evaluated both brain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and SpO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at 1, 3, 5 and 10 minutes after birth in 100 neonates.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, was measured at the forehead using a finger-adhering oximeter (Toccare KN-15, Astem Co.). To measure SpO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, a Radical-7 (manufactured by Masimo Co.) was used. This study was approved by the institutional review board at our hospital.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【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Result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】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The gestational age and birth weight were 37.9±1.2 weeks and 2,825±429 g, respectively. Eighty-seven infants and 13 infants were term and late preterm infants, respectively, and there were 21 vaginal deliveries and 79 cesarean sections. In all cases,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levels were measured at 1, 3, 5, and 10 minutes after birth. For the SpO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measurements, nine cases at 1 min, 40 cases at 3 minutes, 81 cases at 5 minutes and 93 cases at 10 minutes were available. The median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level was 43% at 1 minute after birth, 48% at 3 minutes, 52% at 5 minutes and 57% at 10 minutes.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【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Conclusion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>】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We used a finger-adhering oximeter to observe changes in the brain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values of 100 normal transition infants.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was easier and more detectable than the pulse oximeter. Brain rSO</w:t>
      </w:r>
      <w:r w:rsidRPr="00CC36F0">
        <w:rPr>
          <w:rFonts w:ascii="Arial" w:eastAsia="SimSun" w:hAnsi="Arial" w:cs="Arial"/>
          <w:color w:val="000000"/>
          <w:sz w:val="22"/>
          <w:szCs w:val="22"/>
          <w:vertAlign w:val="subscript"/>
        </w:rPr>
        <w:t>2</w:t>
      </w:r>
      <w:r w:rsidRPr="000E05F8">
        <w:rPr>
          <w:rFonts w:ascii="Arial" w:eastAsia="SimSun" w:hAnsi="Arial" w:cs="Arial"/>
          <w:color w:val="000000"/>
          <w:sz w:val="22"/>
          <w:szCs w:val="22"/>
        </w:rPr>
        <w:t xml:space="preserve"> values might be useful to evaluate oxygenation immediately after birth.</w:t>
      </w:r>
    </w:p>
    <w:p w:rsidR="000E05F8" w:rsidRDefault="000E05F8" w:rsidP="000E05F8">
      <w:pPr>
        <w:spacing w:after="0" w:line="240" w:lineRule="auto"/>
        <w:jc w:val="both"/>
        <w:rPr>
          <w:rFonts w:ascii="Arial" w:eastAsia="SimSun" w:hAnsi="Arial" w:cs="Arial" w:hint="eastAsia"/>
          <w:color w:val="000000"/>
        </w:rPr>
      </w:pPr>
    </w:p>
    <w:p w:rsidR="004D53DF" w:rsidRPr="007E2327" w:rsidRDefault="00A86019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7E2327">
        <w:rPr>
          <w:rFonts w:ascii="Arial" w:hAnsi="Arial" w:cs="Arial"/>
          <w:sz w:val="22"/>
          <w:szCs w:val="22"/>
        </w:rPr>
        <w:t>Reference</w:t>
      </w:r>
    </w:p>
    <w:p w:rsidR="004D53DF" w:rsidRPr="007E2327" w:rsidRDefault="004D53DF" w:rsidP="004D53DF">
      <w:pPr>
        <w:pStyle w:val="aa"/>
        <w:numPr>
          <w:ilvl w:val="0"/>
          <w:numId w:val="3"/>
        </w:numPr>
        <w:spacing w:after="0" w:line="240" w:lineRule="auto"/>
        <w:ind w:leftChars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E2327">
        <w:rPr>
          <w:rFonts w:ascii="Arial" w:hAnsi="Arial" w:cs="Arial"/>
          <w:color w:val="000000" w:themeColor="text1"/>
          <w:sz w:val="22"/>
          <w:szCs w:val="22"/>
        </w:rPr>
        <w:t>Dawson JA, Kamlin CO, Vento M, et al. Defining the reference for oxygen saturation for infants after birth. Pediatrics</w:t>
      </w:r>
      <w:r w:rsidRPr="007E2327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r w:rsidRPr="007E2327">
        <w:rPr>
          <w:rFonts w:ascii="Arial" w:hAnsi="Arial" w:cs="Arial"/>
          <w:color w:val="000000" w:themeColor="text1"/>
          <w:sz w:val="22"/>
          <w:szCs w:val="22"/>
        </w:rPr>
        <w:t>2010;125:e1340-e1347</w:t>
      </w:r>
    </w:p>
    <w:p w:rsidR="007E2327" w:rsidRPr="007E2327" w:rsidRDefault="007E2327" w:rsidP="007E2327">
      <w:pPr>
        <w:pStyle w:val="aa"/>
        <w:numPr>
          <w:ilvl w:val="0"/>
          <w:numId w:val="3"/>
        </w:numPr>
        <w:spacing w:after="0" w:line="240" w:lineRule="auto"/>
        <w:ind w:leftChars="0"/>
        <w:jc w:val="both"/>
        <w:rPr>
          <w:rFonts w:ascii="Arial" w:eastAsia="SimSun" w:hAnsi="Arial" w:cs="Arial"/>
          <w:color w:val="000000"/>
          <w:sz w:val="22"/>
          <w:szCs w:val="22"/>
        </w:rPr>
      </w:pPr>
      <w:r w:rsidRPr="007E2327">
        <w:rPr>
          <w:rFonts w:ascii="Arial" w:eastAsia="SimSun" w:hAnsi="Arial" w:cs="Arial"/>
          <w:color w:val="000000"/>
          <w:sz w:val="22"/>
          <w:szCs w:val="22"/>
        </w:rPr>
        <w:t>Watanabe T, Ito M, Miyake F, et al. Measurement of brain tissue oxygen saturation in term infants using a new portable near-infrared spectroscopy device. Pediatric international 2017;59: 167-170</w:t>
      </w:r>
    </w:p>
    <w:p w:rsidR="007E2327" w:rsidRPr="007E2327" w:rsidRDefault="007E2327" w:rsidP="007E2327">
      <w:pPr>
        <w:pStyle w:val="aa"/>
        <w:numPr>
          <w:ilvl w:val="0"/>
          <w:numId w:val="3"/>
        </w:numPr>
        <w:spacing w:after="0" w:line="240" w:lineRule="auto"/>
        <w:ind w:leftChars="0"/>
        <w:jc w:val="both"/>
        <w:rPr>
          <w:rFonts w:ascii="Arial" w:eastAsia="SimSun" w:hAnsi="Arial" w:cs="Arial"/>
          <w:color w:val="000000"/>
          <w:sz w:val="22"/>
          <w:szCs w:val="22"/>
        </w:rPr>
      </w:pPr>
      <w:r w:rsidRPr="007E2327">
        <w:rPr>
          <w:rFonts w:ascii="Arial" w:eastAsia="SimSun" w:hAnsi="Arial" w:cs="Arial"/>
          <w:color w:val="000000"/>
          <w:sz w:val="22"/>
          <w:szCs w:val="22"/>
        </w:rPr>
        <w:t>Mari M, Toshiyuki U, Hiroaki I et al. Tissue oxygen saturation levels from fetus to neonate. J obstet gynaecol Res 2017 ;43: 855-859</w:t>
      </w:r>
    </w:p>
    <w:p w:rsidR="007E2327" w:rsidRDefault="007E2327" w:rsidP="007E2327">
      <w:pPr>
        <w:pStyle w:val="aa"/>
        <w:numPr>
          <w:ilvl w:val="0"/>
          <w:numId w:val="3"/>
        </w:numPr>
        <w:spacing w:after="0" w:line="240" w:lineRule="auto"/>
        <w:ind w:leftChars="0"/>
        <w:jc w:val="both"/>
        <w:rPr>
          <w:rFonts w:ascii="Arial" w:eastAsia="SimSun" w:hAnsi="Arial" w:cs="Arial"/>
          <w:color w:val="000000"/>
          <w:sz w:val="22"/>
          <w:szCs w:val="22"/>
        </w:rPr>
      </w:pPr>
      <w:r w:rsidRPr="007E2327">
        <w:rPr>
          <w:rFonts w:ascii="Arial" w:eastAsia="SimSun" w:hAnsi="Arial" w:cs="Arial"/>
          <w:color w:val="000000"/>
          <w:sz w:val="22"/>
          <w:szCs w:val="22"/>
        </w:rPr>
        <w:t>Kanayama N, Niwayama M. Examiner`s finger-mounted fetal tissue oximetry. J Biomed.Opt 2014;19:067008</w:t>
      </w:r>
    </w:p>
    <w:p w:rsidR="00EB3B6E" w:rsidRPr="00EB3B6E" w:rsidRDefault="00EB3B6E" w:rsidP="00EB3B6E">
      <w:pPr>
        <w:spacing w:after="0" w:line="240" w:lineRule="auto"/>
        <w:jc w:val="both"/>
        <w:rPr>
          <w:rFonts w:ascii="Arial" w:eastAsia="SimSun" w:hAnsi="Arial" w:cs="Arial" w:hint="eastAsia"/>
          <w:color w:val="000000"/>
          <w:sz w:val="22"/>
          <w:szCs w:val="22"/>
        </w:rPr>
      </w:pPr>
    </w:p>
    <w:p w:rsidR="00536063" w:rsidRPr="00171094" w:rsidRDefault="007E2327" w:rsidP="007E2327">
      <w:pPr>
        <w:spacing w:after="0" w:line="240" w:lineRule="auto"/>
        <w:jc w:val="both"/>
        <w:rPr>
          <w:rFonts w:ascii="Arial" w:eastAsia="ＭＳ Ｐゴシック" w:hAnsi="Arial" w:cs="Arial"/>
          <w:color w:val="000000"/>
          <w:sz w:val="22"/>
          <w:szCs w:val="22"/>
          <w:lang w:eastAsia="ja-JP"/>
        </w:rPr>
      </w:pPr>
      <w:r w:rsidRPr="00171094">
        <w:rPr>
          <w:rFonts w:ascii="Arial" w:eastAsia="ＭＳ Ｐゴシック" w:hAnsi="Arial" w:cs="Arial" w:hint="eastAsia"/>
          <w:color w:val="000000"/>
          <w:sz w:val="22"/>
          <w:szCs w:val="22"/>
          <w:lang w:eastAsia="ja-JP"/>
        </w:rPr>
        <w:t>A</w:t>
      </w:r>
      <w:r w:rsidRPr="00171094">
        <w:rPr>
          <w:rFonts w:ascii="Arial" w:eastAsia="ＭＳ Ｐゴシック" w:hAnsi="Arial" w:cs="Arial"/>
          <w:color w:val="000000"/>
          <w:sz w:val="22"/>
          <w:szCs w:val="22"/>
          <w:lang w:eastAsia="ja-JP"/>
        </w:rPr>
        <w:t>ckno</w:t>
      </w:r>
      <w:r w:rsidR="00171094">
        <w:rPr>
          <w:rFonts w:ascii="Arial" w:eastAsia="ＭＳ Ｐゴシック" w:hAnsi="Arial" w:cs="Arial"/>
          <w:color w:val="000000"/>
          <w:sz w:val="22"/>
          <w:szCs w:val="22"/>
          <w:lang w:eastAsia="ja-JP"/>
        </w:rPr>
        <w:t>w</w:t>
      </w:r>
      <w:r w:rsidRPr="00171094">
        <w:rPr>
          <w:rFonts w:ascii="Arial" w:eastAsia="ＭＳ Ｐゴシック" w:hAnsi="Arial" w:cs="Arial"/>
          <w:color w:val="000000"/>
          <w:sz w:val="22"/>
          <w:szCs w:val="22"/>
          <w:lang w:eastAsia="ja-JP"/>
        </w:rPr>
        <w:t>ledgements</w:t>
      </w:r>
    </w:p>
    <w:p w:rsidR="007E2327" w:rsidRPr="00171094" w:rsidRDefault="007E2327" w:rsidP="007E2327">
      <w:pPr>
        <w:spacing w:after="0" w:line="240" w:lineRule="auto"/>
        <w:jc w:val="both"/>
        <w:rPr>
          <w:rFonts w:ascii="Arial" w:eastAsia="ＭＳ Ｐゴシック" w:hAnsi="Arial" w:cs="Arial"/>
          <w:color w:val="000000"/>
          <w:sz w:val="22"/>
          <w:szCs w:val="22"/>
          <w:lang w:eastAsia="ja-JP"/>
        </w:rPr>
      </w:pPr>
      <w:r w:rsidRPr="00171094">
        <w:rPr>
          <w:rFonts w:ascii="Arial" w:eastAsia="ＭＳ Ｐゴシック" w:hAnsi="Arial" w:cs="Arial" w:hint="eastAsia"/>
          <w:color w:val="000000"/>
          <w:sz w:val="22"/>
          <w:szCs w:val="22"/>
          <w:lang w:eastAsia="ja-JP"/>
        </w:rPr>
        <w:t>W</w:t>
      </w:r>
      <w:r w:rsidRPr="00171094">
        <w:rPr>
          <w:rFonts w:ascii="Arial" w:eastAsia="ＭＳ Ｐゴシック" w:hAnsi="Arial" w:cs="Arial"/>
          <w:color w:val="000000"/>
          <w:sz w:val="22"/>
          <w:szCs w:val="22"/>
          <w:lang w:eastAsia="ja-JP"/>
        </w:rPr>
        <w:t>e would like to thank Mr. Hikaru Suzuki, CEO of ASTEM Co., Ltd(Kawasaki japan)</w:t>
      </w:r>
    </w:p>
    <w:p w:rsidR="007E2327" w:rsidRPr="00171094" w:rsidRDefault="007E2327" w:rsidP="007E2327">
      <w:pPr>
        <w:spacing w:after="0" w:line="240" w:lineRule="auto"/>
        <w:jc w:val="both"/>
        <w:rPr>
          <w:rFonts w:ascii="Arial" w:eastAsia="ＭＳ Ｐゴシック" w:hAnsi="Arial" w:cs="Arial" w:hint="eastAsia"/>
          <w:color w:val="000000"/>
          <w:sz w:val="22"/>
          <w:szCs w:val="22"/>
          <w:lang w:eastAsia="ja-JP"/>
        </w:rPr>
      </w:pPr>
      <w:r w:rsidRPr="00171094">
        <w:rPr>
          <w:rFonts w:ascii="Arial" w:eastAsia="ＭＳ Ｐゴシック" w:hAnsi="Arial" w:cs="Arial"/>
          <w:color w:val="000000"/>
          <w:sz w:val="22"/>
          <w:szCs w:val="22"/>
          <w:lang w:eastAsia="ja-JP"/>
        </w:rPr>
        <w:t>For general advice in development of the instruments</w:t>
      </w:r>
      <w:r w:rsidR="00EB3B6E" w:rsidRPr="00171094">
        <w:rPr>
          <w:rFonts w:ascii="Arial" w:eastAsia="ＭＳ Ｐゴシック" w:hAnsi="Arial" w:cs="Arial"/>
          <w:color w:val="000000"/>
          <w:sz w:val="22"/>
          <w:szCs w:val="22"/>
          <w:lang w:eastAsia="ja-JP"/>
        </w:rPr>
        <w:t>.</w:t>
      </w:r>
    </w:p>
    <w:p w:rsidR="00536063" w:rsidRPr="007E2327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8pt;height:20pt" o:ole="">
            <v:imagedata r:id="rId8" o:title=""/>
          </v:shape>
          <w:control r:id="rId9" w:name="OptionButton1" w:shapeid="_x0000_i1042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43" type="#_x0000_t75" style="width:149pt;height:20pt" o:ole="">
            <v:imagedata r:id="rId10" o:title=""/>
          </v:shape>
          <w:control r:id="rId11" w:name="OptionButton2" w:shapeid="_x0000_i1043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4B3D36C1"/>
    <w:multiLevelType w:val="hybridMultilevel"/>
    <w:tmpl w:val="B0D0CFE8"/>
    <w:lvl w:ilvl="0" w:tplc="3864B0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A"/>
    <w:rsid w:val="000214CB"/>
    <w:rsid w:val="00042078"/>
    <w:rsid w:val="000B0BE9"/>
    <w:rsid w:val="000E05F8"/>
    <w:rsid w:val="00103CE4"/>
    <w:rsid w:val="001248EF"/>
    <w:rsid w:val="00171094"/>
    <w:rsid w:val="00182D5C"/>
    <w:rsid w:val="001E5599"/>
    <w:rsid w:val="0022452E"/>
    <w:rsid w:val="00226BCA"/>
    <w:rsid w:val="0026095E"/>
    <w:rsid w:val="002761FE"/>
    <w:rsid w:val="00282746"/>
    <w:rsid w:val="002C3083"/>
    <w:rsid w:val="00304608"/>
    <w:rsid w:val="00305664"/>
    <w:rsid w:val="00343F69"/>
    <w:rsid w:val="004767E4"/>
    <w:rsid w:val="004A6398"/>
    <w:rsid w:val="004D18EE"/>
    <w:rsid w:val="004D53DF"/>
    <w:rsid w:val="004E6648"/>
    <w:rsid w:val="00514F29"/>
    <w:rsid w:val="00536063"/>
    <w:rsid w:val="00555A7D"/>
    <w:rsid w:val="006533FC"/>
    <w:rsid w:val="00653440"/>
    <w:rsid w:val="00682B60"/>
    <w:rsid w:val="00685C5F"/>
    <w:rsid w:val="006E51B7"/>
    <w:rsid w:val="006F031C"/>
    <w:rsid w:val="007109F1"/>
    <w:rsid w:val="00750E77"/>
    <w:rsid w:val="00793262"/>
    <w:rsid w:val="007E2327"/>
    <w:rsid w:val="00812CCA"/>
    <w:rsid w:val="00856AA7"/>
    <w:rsid w:val="008727B8"/>
    <w:rsid w:val="008C0A91"/>
    <w:rsid w:val="008F1F76"/>
    <w:rsid w:val="009465E3"/>
    <w:rsid w:val="009748F1"/>
    <w:rsid w:val="00A478D2"/>
    <w:rsid w:val="00A50945"/>
    <w:rsid w:val="00A86019"/>
    <w:rsid w:val="00AE00E0"/>
    <w:rsid w:val="00B77F3F"/>
    <w:rsid w:val="00B920D5"/>
    <w:rsid w:val="00C4265A"/>
    <w:rsid w:val="00C43FF3"/>
    <w:rsid w:val="00CB5844"/>
    <w:rsid w:val="00CC017D"/>
    <w:rsid w:val="00CC36F0"/>
    <w:rsid w:val="00D301FC"/>
    <w:rsid w:val="00D72A09"/>
    <w:rsid w:val="00D84360"/>
    <w:rsid w:val="00DA1FFD"/>
    <w:rsid w:val="00E2366C"/>
    <w:rsid w:val="00E946D5"/>
    <w:rsid w:val="00EB3B6E"/>
    <w:rsid w:val="00FA09EA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E909A1E"/>
  <w15:docId w15:val="{A1C175AF-43EB-4552-84AC-C3B6BEC6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>
    <w:name w:val="Hyperlink"/>
    <w:rPr>
      <w:color w:val="0000FF"/>
      <w:u w:val="single"/>
    </w:rPr>
  </w:style>
  <w:style w:type="character" w:customStyle="1" w:styleId="SprechblasentextZchn">
    <w:name w:val="Sprechblasentext Zchn"/>
    <w:link w:val="a3"/>
    <w:rPr>
      <w:rFonts w:ascii="Tahoma" w:eastAsia="Times New Roman" w:hAnsi="Tahoma" w:cs="Tahoma"/>
      <w:sz w:val="16"/>
      <w:szCs w:val="16"/>
    </w:rPr>
  </w:style>
  <w:style w:type="character" w:styleId="a5">
    <w:name w:val="FollowedHyperlink"/>
    <w:basedOn w:val="a0"/>
    <w:rsid w:val="008C0A91"/>
    <w:rPr>
      <w:color w:val="800080" w:themeColor="followedHyperlink"/>
      <w:u w:val="single"/>
    </w:rPr>
  </w:style>
  <w:style w:type="paragraph" w:styleId="a6">
    <w:name w:val="header"/>
    <w:basedOn w:val="a"/>
    <w:link w:val="a7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rsid w:val="004D18EE"/>
    <w:rPr>
      <w:rFonts w:eastAsia="Times New Roman"/>
      <w:sz w:val="24"/>
      <w:szCs w:val="24"/>
      <w:lang w:val="en-US" w:eastAsia="zh-CN"/>
    </w:rPr>
  </w:style>
  <w:style w:type="paragraph" w:styleId="a8">
    <w:name w:val="footer"/>
    <w:basedOn w:val="a"/>
    <w:link w:val="a9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rsid w:val="004D18EE"/>
    <w:rPr>
      <w:rFonts w:eastAsia="Times New Roman"/>
      <w:sz w:val="24"/>
      <w:szCs w:val="24"/>
      <w:lang w:val="en-US" w:eastAsia="zh-CN"/>
    </w:rPr>
  </w:style>
  <w:style w:type="paragraph" w:styleId="aa">
    <w:name w:val="List Paragraph"/>
    <w:basedOn w:val="a"/>
    <w:uiPriority w:val="99"/>
    <w:unhideWhenUsed/>
    <w:rsid w:val="004D53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亮太 鈴木</cp:lastModifiedBy>
  <cp:revision>6</cp:revision>
  <cp:lastPrinted>2012-03-06T08:56:00Z</cp:lastPrinted>
  <dcterms:created xsi:type="dcterms:W3CDTF">2018-04-14T01:30:00Z</dcterms:created>
  <dcterms:modified xsi:type="dcterms:W3CDTF">2018-04-14T13:05:00Z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