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14" w:lineRule="atLeast"/>
        <w:ind w:left="0" w:right="0" w:firstLine="0"/>
        <w:jc w:val="center"/>
        <w:rPr>
          <w:rFonts w:hint="default" w:ascii="Arial" w:hAnsi="Arial" w:eastAsia="宋体" w:cs="Arial"/>
          <w:b/>
          <w:bCs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Arial" w:hAnsi="Arial" w:cs="Arial"/>
          <w:b/>
          <w:bCs/>
          <w:color w:val="000000"/>
          <w:kern w:val="0"/>
          <w:sz w:val="28"/>
          <w:szCs w:val="28"/>
          <w:lang w:val="en-US" w:eastAsia="zh-CN" w:bidi="ar-SA"/>
        </w:rPr>
        <w:t>Effective solanezumab for mild dementia due to Alzheimer's disease</w:t>
      </w:r>
    </w:p>
    <w:p>
      <w:pPr>
        <w:shd w:val="clear" w:color="auto" w:fill="FFFFFF"/>
        <w:spacing w:after="225" w:line="270" w:lineRule="atLeast"/>
        <w:jc w:val="center"/>
        <w:rPr>
          <w:rFonts w:ascii="Arial" w:hAnsi="Arial" w:eastAsia="宋体" w:cs="Arial"/>
          <w:b/>
          <w:bCs/>
          <w:color w:val="000000"/>
          <w:sz w:val="28"/>
          <w:szCs w:val="28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hint="eastAsia" w:ascii="Arial" w:hAnsi="Arial" w:eastAsia="宋体" w:cs="Arial"/>
          <w:b/>
          <w:lang w:val="en-US" w:eastAsia="zh-CN"/>
        </w:rPr>
        <w:t>T. C. Y. Liu</w:t>
      </w:r>
      <w:r>
        <w:rPr>
          <w:rFonts w:ascii="Arial" w:hAnsi="Arial" w:cs="Arial"/>
        </w:rPr>
        <w:t xml:space="preserve">, </w:t>
      </w:r>
      <w:r>
        <w:rPr>
          <w:rFonts w:hint="eastAsia" w:ascii="Arial" w:hAnsi="Arial" w:eastAsia="宋体" w:cs="Arial"/>
          <w:lang w:val="en-US" w:eastAsia="zh-CN"/>
        </w:rPr>
        <w:t>L. Zhu</w:t>
      </w:r>
      <w:r>
        <w:rPr>
          <w:rFonts w:ascii="Arial" w:hAnsi="Arial" w:cs="Arial"/>
        </w:rPr>
        <w:t xml:space="preserve">, </w:t>
      </w:r>
      <w:r>
        <w:rPr>
          <w:rFonts w:hint="eastAsia" w:ascii="Arial" w:hAnsi="Arial" w:eastAsia="宋体" w:cs="Arial"/>
          <w:lang w:val="en-US" w:eastAsia="zh-CN"/>
        </w:rPr>
        <w:t>R Duan</w:t>
      </w:r>
      <w:r>
        <w:rPr>
          <w:rFonts w:ascii="Arial" w:hAnsi="Arial" w:cs="Arial"/>
        </w:rPr>
        <w:t xml:space="preserve"> and </w:t>
      </w:r>
      <w:r>
        <w:rPr>
          <w:rFonts w:hint="eastAsia" w:ascii="Arial" w:hAnsi="Arial" w:eastAsia="宋体" w:cs="Arial"/>
          <w:lang w:val="en-US" w:eastAsia="zh-CN"/>
        </w:rPr>
        <w:t>Q. G. Zhang</w:t>
      </w:r>
    </w:p>
    <w:p>
      <w:pPr>
        <w:ind w:left="720"/>
        <w:rPr>
          <w:rFonts w:ascii="Arial" w:hAnsi="Arial" w:cs="Arial"/>
          <w:sz w:val="20"/>
          <w:szCs w:val="20"/>
        </w:rPr>
      </w:pPr>
    </w:p>
    <w:p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hint="eastAsia" w:ascii="Arial" w:hAnsi="Arial" w:eastAsia="宋体" w:cs="Arial"/>
          <w:i/>
          <w:lang w:val="en-US" w:eastAsia="zh-CN"/>
        </w:rPr>
        <w:t>Laboratory of Laser Sports Medicine, College of Physical Education and Sports Science, South China Normal</w:t>
      </w:r>
      <w:r>
        <w:rPr>
          <w:rFonts w:ascii="Arial" w:hAnsi="Arial" w:cs="Arial"/>
          <w:i/>
        </w:rPr>
        <w:t xml:space="preserve"> University, </w:t>
      </w:r>
      <w:r>
        <w:rPr>
          <w:rFonts w:hint="eastAsia" w:ascii="Arial" w:hAnsi="Arial" w:eastAsia="宋体" w:cs="Arial"/>
          <w:i/>
          <w:lang w:val="en-US" w:eastAsia="zh-CN"/>
        </w:rPr>
        <w:t>China</w:t>
      </w:r>
      <w:r>
        <w:rPr>
          <w:rFonts w:ascii="Arial" w:hAnsi="Arial" w:cs="Arial"/>
          <w:i/>
        </w:rPr>
        <w:t xml:space="preserve"> </w:t>
      </w:r>
    </w:p>
    <w:p>
      <w:pPr>
        <w:spacing w:after="0" w:line="240" w:lineRule="auto"/>
        <w:jc w:val="center"/>
        <w:rPr>
          <w:rFonts w:ascii="Arial" w:hAnsi="Arial" w:cs="Arial"/>
          <w:i/>
        </w:rPr>
      </w:pPr>
    </w:p>
    <w:p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Corresponding </w:t>
      </w:r>
      <w:r>
        <w:rPr>
          <w:rFonts w:hint="eastAsia" w:ascii="Arial" w:hAnsi="Arial" w:cs="Arial"/>
          <w:i/>
        </w:rPr>
        <w:t>a</w:t>
      </w:r>
      <w:r>
        <w:rPr>
          <w:rFonts w:ascii="Arial" w:hAnsi="Arial" w:cs="Arial"/>
          <w:i/>
        </w:rPr>
        <w:t xml:space="preserve">uthor e-mail address: </w:t>
      </w:r>
      <w:r>
        <w:rPr>
          <w:rFonts w:hint="eastAsia" w:ascii="Arial" w:hAnsi="Arial" w:eastAsia="宋体" w:cs="Arial"/>
          <w:i/>
          <w:lang w:val="en-US" w:eastAsia="zh-CN"/>
        </w:rPr>
        <w:t>liutcy@formail.com</w:t>
      </w:r>
    </w:p>
    <w:p>
      <w:pPr>
        <w:spacing w:after="0" w:line="240" w:lineRule="auto"/>
        <w:jc w:val="center"/>
        <w:rPr>
          <w:rFonts w:ascii="Arial" w:hAnsi="Arial" w:cs="Arial"/>
          <w:i/>
        </w:rPr>
      </w:pPr>
    </w:p>
    <w:p>
      <w:pPr>
        <w:spacing w:after="0" w:line="240" w:lineRule="auto"/>
        <w:jc w:val="both"/>
        <w:rPr>
          <w:rFonts w:hint="default" w:ascii="Arial" w:hAnsi="Arial" w:eastAsia="宋体" w:cs="Arial"/>
          <w:color w:val="000000"/>
          <w:sz w:val="24"/>
          <w:szCs w:val="24"/>
        </w:rPr>
      </w:pPr>
      <w:r>
        <w:rPr>
          <w:rFonts w:ascii="Arial" w:hAnsi="Arial" w:eastAsia="宋体" w:cs="Arial"/>
          <w:b/>
          <w:color w:val="000000"/>
        </w:rPr>
        <w:t>Abstract:</w:t>
      </w:r>
      <w:r>
        <w:rPr>
          <w:rFonts w:ascii="Arial" w:hAnsi="Arial" w:eastAsia="宋体" w:cs="Arial"/>
          <w:color w:val="000000"/>
        </w:rPr>
        <w:t xml:space="preserve"> </w:t>
      </w:r>
      <w:r>
        <w:rPr>
          <w:rFonts w:hint="default" w:ascii="Arial" w:hAnsi="Arial" w:cs="Arial"/>
          <w:bCs/>
          <w:sz w:val="24"/>
          <w:szCs w:val="24"/>
          <w:lang w:val="en-US" w:eastAsia="zh-CN"/>
        </w:rPr>
        <w:t xml:space="preserve">Honig et al. (2018) have </w:t>
      </w:r>
      <w:r>
        <w:rPr>
          <w:rFonts w:hint="default" w:ascii="Arial" w:hAnsi="Arial" w:cs="Arial"/>
          <w:bCs/>
          <w:sz w:val="24"/>
          <w:szCs w:val="24"/>
        </w:rPr>
        <w:t>conducted a double-blind, placebo-controlled, phase 3 trial involving patients with mild dementia due to Alzheimer's disease</w:t>
      </w:r>
      <w:r>
        <w:rPr>
          <w:rFonts w:hint="eastAsia" w:ascii="Arial" w:hAnsi="Arial" w:cs="Arial"/>
          <w:bCs/>
          <w:sz w:val="24"/>
          <w:szCs w:val="24"/>
          <w:lang w:val="en-US" w:eastAsia="zh-CN"/>
        </w:rPr>
        <w:t xml:space="preserve"> (AD)</w:t>
      </w:r>
      <w:r>
        <w:rPr>
          <w:rFonts w:hint="default" w:ascii="Arial" w:hAnsi="Arial" w:cs="Arial"/>
          <w:bCs/>
          <w:sz w:val="24"/>
          <w:szCs w:val="24"/>
        </w:rPr>
        <w:t>, defined as a Mini-Mental State Examination (MMSE) score of 20 to 26 and with amyloid deposition shown by means of florbetapir positron-emission tomography or Aβ1-42 measurements in cerebrospinal fluid</w:t>
      </w:r>
      <w:r>
        <w:rPr>
          <w:rFonts w:hint="default" w:ascii="Arial" w:hAnsi="Arial" w:cs="Arial"/>
          <w:bCs/>
          <w:sz w:val="24"/>
          <w:szCs w:val="24"/>
          <w:lang w:val="en-US" w:eastAsia="zh-CN"/>
        </w:rPr>
        <w:t xml:space="preserve">, and found </w:t>
      </w:r>
      <w:r>
        <w:rPr>
          <w:rFonts w:hint="default" w:ascii="Arial" w:hAnsi="Arial" w:cs="Arial"/>
          <w:bCs/>
          <w:sz w:val="24"/>
          <w:szCs w:val="24"/>
        </w:rPr>
        <w:t>Solanezumab at a dose of 400 mg administered every 4 weeks in patients with mild</w:t>
      </w:r>
      <w:r>
        <w:rPr>
          <w:rFonts w:hint="eastAsia" w:ascii="Arial" w:hAnsi="Arial" w:eastAsia="宋体" w:cs="Arial"/>
          <w:bCs/>
          <w:sz w:val="24"/>
          <w:szCs w:val="24"/>
          <w:lang w:val="en-US" w:eastAsia="zh-CN"/>
        </w:rPr>
        <w:t xml:space="preserve"> AD</w:t>
      </w:r>
      <w:r>
        <w:rPr>
          <w:rFonts w:hint="default" w:ascii="Arial" w:hAnsi="Arial" w:cs="Arial"/>
          <w:bCs/>
          <w:sz w:val="24"/>
          <w:szCs w:val="24"/>
        </w:rPr>
        <w:t xml:space="preserve"> did not significantly affect cognitive decline</w:t>
      </w:r>
      <w:r>
        <w:rPr>
          <w:rFonts w:hint="default" w:ascii="Arial" w:hAnsi="Arial" w:cs="Arial"/>
          <w:bCs/>
          <w:sz w:val="24"/>
          <w:szCs w:val="24"/>
          <w:lang w:val="en-US" w:eastAsia="zh-CN"/>
        </w:rPr>
        <w:t>. Their data were re-analyzed in terms of fractal self-similarity and</w:t>
      </w:r>
      <w:r>
        <w:rPr>
          <w:rFonts w:hint="default" w:ascii="Arial" w:hAnsi="Arial" w:cs="Arial"/>
          <w:bCs/>
          <w:sz w:val="24"/>
          <w:szCs w:val="24"/>
        </w:rPr>
        <w:t xml:space="preserve"> quantitative difference </w:t>
      </w:r>
      <w:r>
        <w:rPr>
          <w:rFonts w:hint="default" w:ascii="Arial" w:hAnsi="Arial" w:cs="Arial"/>
          <w:bCs/>
          <w:sz w:val="24"/>
          <w:szCs w:val="24"/>
          <w:lang w:val="en-US" w:eastAsia="zh-CN"/>
        </w:rPr>
        <w:t xml:space="preserve">(Liu et al. 2018) </w:t>
      </w:r>
      <w:r>
        <w:rPr>
          <w:rFonts w:hint="default" w:ascii="Arial" w:hAnsi="Arial" w:cs="Arial"/>
          <w:bCs/>
          <w:sz w:val="24"/>
          <w:szCs w:val="24"/>
        </w:rPr>
        <w:t>in this paper</w:t>
      </w:r>
      <w:r>
        <w:rPr>
          <w:rFonts w:hint="default" w:ascii="Arial" w:hAnsi="Arial" w:cs="Arial"/>
          <w:bCs/>
          <w:sz w:val="24"/>
          <w:szCs w:val="24"/>
          <w:lang w:val="en-US" w:eastAsia="zh-CN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</w:rPr>
        <w:t>Results</w:t>
      </w:r>
      <w:r>
        <w:rPr>
          <w:rFonts w:hint="default" w:ascii="Arial" w:hAnsi="Arial" w:cs="Arial"/>
          <w:sz w:val="24"/>
          <w:szCs w:val="24"/>
        </w:rPr>
        <w:t>: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 xml:space="preserve">There was topological difference at MMSE between baseline and 80 week treatment for placebo, but there was not the topological difference for </w:t>
      </w:r>
      <w:r>
        <w:rPr>
          <w:rFonts w:hint="default" w:ascii="Arial" w:hAnsi="Arial" w:cs="Arial"/>
          <w:bCs/>
          <w:sz w:val="24"/>
          <w:szCs w:val="24"/>
        </w:rPr>
        <w:t>Solanezumab</w:t>
      </w:r>
      <w:r>
        <w:rPr>
          <w:rFonts w:hint="default" w:ascii="Arial" w:hAnsi="Arial" w:cs="Arial"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</w:rPr>
        <w:t>Conclusion</w:t>
      </w:r>
      <w:r>
        <w:rPr>
          <w:rFonts w:hint="default" w:ascii="Arial" w:hAnsi="Arial" w:cs="Arial"/>
          <w:sz w:val="24"/>
          <w:szCs w:val="24"/>
        </w:rPr>
        <w:t>:</w:t>
      </w:r>
      <w:bookmarkStart w:id="0" w:name="OLE_LINK18"/>
      <w:r>
        <w:rPr>
          <w:rFonts w:hint="default" w:ascii="Arial" w:hAnsi="Arial" w:cs="Arial"/>
          <w:sz w:val="24"/>
          <w:szCs w:val="24"/>
        </w:rPr>
        <w:t xml:space="preserve"> </w:t>
      </w:r>
      <w:bookmarkEnd w:id="0"/>
      <w:r>
        <w:rPr>
          <w:rFonts w:hint="default" w:ascii="Arial" w:hAnsi="Arial" w:cs="Arial"/>
          <w:bCs/>
          <w:sz w:val="24"/>
          <w:szCs w:val="24"/>
        </w:rPr>
        <w:t xml:space="preserve">Solanezumab at a dose of 400 mg administered every 4 weeks </w:t>
      </w:r>
      <w:r>
        <w:rPr>
          <w:rFonts w:hint="eastAsia" w:ascii="Arial" w:hAnsi="Arial" w:eastAsia="宋体" w:cs="Arial"/>
          <w:bCs/>
          <w:sz w:val="24"/>
          <w:szCs w:val="24"/>
          <w:lang w:val="en-US" w:eastAsia="zh-CN"/>
        </w:rPr>
        <w:t xml:space="preserve">for 80 weeks </w:t>
      </w:r>
      <w:bookmarkStart w:id="1" w:name="_GoBack"/>
      <w:bookmarkEnd w:id="1"/>
      <w:r>
        <w:rPr>
          <w:rFonts w:hint="default" w:ascii="Arial" w:hAnsi="Arial" w:cs="Arial"/>
          <w:bCs/>
          <w:sz w:val="24"/>
          <w:szCs w:val="24"/>
        </w:rPr>
        <w:t>in patients with mild</w:t>
      </w:r>
      <w:r>
        <w:rPr>
          <w:rFonts w:hint="eastAsia" w:ascii="Arial" w:hAnsi="Arial" w:eastAsia="宋体" w:cs="Arial"/>
          <w:bCs/>
          <w:sz w:val="24"/>
          <w:szCs w:val="24"/>
          <w:lang w:val="en-US" w:eastAsia="zh-CN"/>
        </w:rPr>
        <w:t xml:space="preserve"> AD</w:t>
      </w:r>
      <w:r>
        <w:rPr>
          <w:rFonts w:hint="default" w:ascii="Arial" w:hAnsi="Arial" w:cs="Arial"/>
          <w:bCs/>
          <w:sz w:val="24"/>
          <w:szCs w:val="24"/>
        </w:rPr>
        <w:t xml:space="preserve"> </w:t>
      </w:r>
      <w:r>
        <w:rPr>
          <w:rFonts w:hint="eastAsia" w:ascii="Arial" w:hAnsi="Arial" w:eastAsia="宋体" w:cs="Arial"/>
          <w:bCs/>
          <w:sz w:val="24"/>
          <w:szCs w:val="24"/>
          <w:lang w:val="en-US" w:eastAsia="zh-CN"/>
        </w:rPr>
        <w:t>may</w:t>
      </w:r>
      <w:r>
        <w:rPr>
          <w:rFonts w:hint="default" w:ascii="Arial" w:hAnsi="Arial" w:cs="Arial"/>
          <w:bCs/>
          <w:sz w:val="24"/>
          <w:szCs w:val="24"/>
        </w:rPr>
        <w:t xml:space="preserve"> significantly </w:t>
      </w:r>
      <w:r>
        <w:rPr>
          <w:rFonts w:hint="eastAsia" w:ascii="Arial" w:hAnsi="Arial" w:eastAsia="宋体" w:cs="Arial"/>
          <w:bCs/>
          <w:sz w:val="24"/>
          <w:szCs w:val="24"/>
          <w:lang w:val="en-US" w:eastAsia="zh-CN"/>
        </w:rPr>
        <w:t>slow</w:t>
      </w:r>
      <w:r>
        <w:rPr>
          <w:rFonts w:hint="default" w:ascii="Arial" w:hAnsi="Arial" w:cs="Arial"/>
          <w:bCs/>
          <w:sz w:val="24"/>
          <w:szCs w:val="24"/>
        </w:rPr>
        <w:t xml:space="preserve"> cognitive decline</w:t>
      </w:r>
      <w:r>
        <w:rPr>
          <w:rFonts w:hint="default" w:ascii="Arial" w:hAnsi="Arial" w:cs="Arial"/>
          <w:sz w:val="24"/>
          <w:szCs w:val="24"/>
        </w:rPr>
        <w:t>.</w:t>
      </w:r>
      <w:r>
        <w:rPr>
          <w:rStyle w:val="5"/>
          <w:rFonts w:hint="default" w:ascii="Arial" w:hAnsi="Arial" w:eastAsia="Arial Unicode MS" w:cs="Arial"/>
          <w:b w:val="0"/>
          <w:color w:val="000000"/>
          <w:sz w:val="24"/>
          <w:szCs w:val="24"/>
        </w:rPr>
        <w:t xml:space="preserve"> </w:t>
      </w:r>
    </w:p>
    <w:p>
      <w:pPr>
        <w:spacing w:after="0" w:line="240" w:lineRule="auto"/>
        <w:jc w:val="both"/>
        <w:rPr>
          <w:rFonts w:ascii="Arial" w:hAnsi="Arial" w:eastAsia="宋体" w:cs="Arial"/>
          <w:color w:val="000000"/>
        </w:rPr>
      </w:pPr>
    </w:p>
    <w:p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References</w:t>
      </w:r>
    </w:p>
    <w:p>
      <w:pPr>
        <w:spacing w:after="0" w:line="240" w:lineRule="auto"/>
        <w:jc w:val="both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</w:rPr>
        <w:t xml:space="preserve">Liu TCY, </w:t>
      </w:r>
      <w:r>
        <w:rPr>
          <w:rFonts w:hint="eastAsia"/>
          <w:bCs/>
          <w:sz w:val="21"/>
          <w:szCs w:val="21"/>
          <w:lang w:val="en-US" w:eastAsia="zh-CN"/>
        </w:rPr>
        <w:t>et al</w:t>
      </w:r>
      <w:r>
        <w:rPr>
          <w:rFonts w:hint="eastAsia" w:ascii="Times New Roman" w:hAnsi="Times New Roman"/>
          <w:bCs/>
          <w:sz w:val="21"/>
          <w:szCs w:val="21"/>
        </w:rPr>
        <w:t>. 201</w:t>
      </w: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 xml:space="preserve">8. </w:t>
      </w: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>The mitochondrial Na</w:t>
      </w:r>
      <w:r>
        <w:rPr>
          <w:rFonts w:hint="default" w:ascii="Times New Roman" w:hAnsi="Times New Roman"/>
          <w:bCs/>
          <w:sz w:val="21"/>
          <w:szCs w:val="21"/>
          <w:vertAlign w:val="superscript"/>
          <w:lang w:val="en-US" w:eastAsia="zh-CN"/>
        </w:rPr>
        <w:t>+</w:t>
      </w: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>/Ca</w:t>
      </w:r>
      <w:r>
        <w:rPr>
          <w:rFonts w:hint="default" w:ascii="Times New Roman" w:hAnsi="Times New Roman"/>
          <w:bCs/>
          <w:sz w:val="21"/>
          <w:szCs w:val="21"/>
          <w:vertAlign w:val="superscript"/>
          <w:lang w:val="en-US" w:eastAsia="zh-CN"/>
        </w:rPr>
        <w:t>2+</w:t>
      </w: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 xml:space="preserve"> exchanger is </w:t>
      </w: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necessary but not sufficient</w:t>
      </w: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 xml:space="preserve"> for Ca</w:t>
      </w:r>
      <w:r>
        <w:rPr>
          <w:rFonts w:hint="default" w:ascii="Times New Roman" w:hAnsi="Times New Roman"/>
          <w:bCs/>
          <w:sz w:val="21"/>
          <w:szCs w:val="21"/>
          <w:vertAlign w:val="superscript"/>
          <w:lang w:val="en-US" w:eastAsia="zh-CN"/>
        </w:rPr>
        <w:t>2+</w:t>
      </w: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> homeostasis and viability</w:t>
      </w: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 xml:space="preserve">. Adv </w:t>
      </w:r>
      <w:r>
        <w:rPr>
          <w:rFonts w:hint="eastAsia" w:ascii="Times New Roman" w:hAnsi="Times New Roman"/>
          <w:bCs/>
          <w:sz w:val="21"/>
          <w:szCs w:val="21"/>
        </w:rPr>
        <w:t xml:space="preserve">Exp Med Biol. </w:t>
      </w: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(to be published)</w:t>
      </w:r>
    </w:p>
    <w:p>
      <w:pPr>
        <w:spacing w:after="0" w:line="240" w:lineRule="auto"/>
        <w:jc w:val="both"/>
        <w:rPr>
          <w:rFonts w:ascii="Arial" w:hAnsi="Arial" w:cs="Arial"/>
          <w:lang w:eastAsia="zh-CN"/>
        </w:rPr>
      </w:pPr>
      <w:r>
        <w:rPr>
          <w:rFonts w:hint="default" w:ascii="Arial" w:hAnsi="Arial" w:cs="Arial"/>
          <w:lang w:val="en-US" w:eastAsia="zh-CN"/>
        </w:rPr>
        <w:t xml:space="preserve">Honig LS, </w:t>
      </w:r>
      <w:r>
        <w:rPr>
          <w:rFonts w:hint="eastAsia" w:ascii="Arial" w:hAnsi="Arial" w:cs="Arial"/>
          <w:lang w:val="en-US" w:eastAsia="zh-CN"/>
        </w:rPr>
        <w:t>et al</w:t>
      </w:r>
      <w:r>
        <w:rPr>
          <w:rFonts w:hint="default" w:ascii="Arial" w:hAnsi="Arial" w:cs="Arial"/>
          <w:lang w:val="en-US" w:eastAsia="zh-CN"/>
        </w:rPr>
        <w:t>. 2018. Trial of Solanezumab for Mild Dementia Due to Alzheimer's Disease.N Engl J Med.378(4):321-330.</w:t>
      </w:r>
    </w:p>
    <w:p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object>
          <v:shape id="_x0000_i1025" o:spt="201" alt="" type="#_x0000_t201" style="height:19.5pt;width:10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OptionButton1" w:shapeid="_x0000_i1025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object>
          <v:shape id="_x0000_i1026" o:spt="201" alt="" type="#_x0000_t201" style="height:19.5pt;width:148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" w:name="OptionButton2" w:shapeid="_x0000_i1026"/>
        </w:object>
      </w:r>
    </w:p>
    <w:sectPr>
      <w:pgSz w:w="11906" w:h="16838"/>
      <w:pgMar w:top="1418" w:right="1418" w:bottom="1134" w:left="1418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cript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CA"/>
    <w:rsid w:val="000214CB"/>
    <w:rsid w:val="00042078"/>
    <w:rsid w:val="000B0BE9"/>
    <w:rsid w:val="001248EF"/>
    <w:rsid w:val="00182D5C"/>
    <w:rsid w:val="001E5599"/>
    <w:rsid w:val="00226BCA"/>
    <w:rsid w:val="0026095E"/>
    <w:rsid w:val="002761FE"/>
    <w:rsid w:val="00282746"/>
    <w:rsid w:val="002C3083"/>
    <w:rsid w:val="00304608"/>
    <w:rsid w:val="004767E4"/>
    <w:rsid w:val="004A6398"/>
    <w:rsid w:val="004E6648"/>
    <w:rsid w:val="00514F29"/>
    <w:rsid w:val="00536063"/>
    <w:rsid w:val="00555A7D"/>
    <w:rsid w:val="006533FC"/>
    <w:rsid w:val="00653440"/>
    <w:rsid w:val="00682B60"/>
    <w:rsid w:val="00685C5F"/>
    <w:rsid w:val="006E51B7"/>
    <w:rsid w:val="006F031C"/>
    <w:rsid w:val="007109F1"/>
    <w:rsid w:val="00750E77"/>
    <w:rsid w:val="00793262"/>
    <w:rsid w:val="00812CCA"/>
    <w:rsid w:val="00856AA7"/>
    <w:rsid w:val="008C0A91"/>
    <w:rsid w:val="008F1F76"/>
    <w:rsid w:val="009465E3"/>
    <w:rsid w:val="00A478D2"/>
    <w:rsid w:val="00A50945"/>
    <w:rsid w:val="00A86019"/>
    <w:rsid w:val="00AE00E0"/>
    <w:rsid w:val="00B77F3F"/>
    <w:rsid w:val="00C43FF3"/>
    <w:rsid w:val="00CB5844"/>
    <w:rsid w:val="00D301FC"/>
    <w:rsid w:val="00D72A09"/>
    <w:rsid w:val="00D84360"/>
    <w:rsid w:val="00DA1FFD"/>
    <w:rsid w:val="00E2366C"/>
    <w:rsid w:val="00E946D5"/>
    <w:rsid w:val="022C0F84"/>
    <w:rsid w:val="07446A8C"/>
    <w:rsid w:val="078D5F55"/>
    <w:rsid w:val="0F1B5A10"/>
    <w:rsid w:val="13FF2976"/>
    <w:rsid w:val="16975762"/>
    <w:rsid w:val="193C3131"/>
    <w:rsid w:val="1A497450"/>
    <w:rsid w:val="1D906A1D"/>
    <w:rsid w:val="2607054B"/>
    <w:rsid w:val="29461020"/>
    <w:rsid w:val="2E3E38A3"/>
    <w:rsid w:val="33043701"/>
    <w:rsid w:val="35AE095D"/>
    <w:rsid w:val="3E6A3C52"/>
    <w:rsid w:val="411B5BC7"/>
    <w:rsid w:val="463F088D"/>
    <w:rsid w:val="4E9B428E"/>
    <w:rsid w:val="55790805"/>
    <w:rsid w:val="55990DA0"/>
    <w:rsid w:val="57EB76DA"/>
    <w:rsid w:val="58314E64"/>
    <w:rsid w:val="63E238E0"/>
    <w:rsid w:val="65C1466B"/>
    <w:rsid w:val="670162B2"/>
    <w:rsid w:val="7CB9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Strong"/>
    <w:qFormat/>
    <w:uiPriority w:val="0"/>
    <w:rPr>
      <w:b/>
      <w:bCs/>
    </w:rPr>
  </w:style>
  <w:style w:type="character" w:styleId="6">
    <w:name w:val="FollowedHyperlink"/>
    <w:basedOn w:val="4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9">
    <w:name w:val="Sprechblasentext Zchn"/>
    <w:link w:val="3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10">
    <w:name w:val="jrnl"/>
    <w:basedOn w:val="4"/>
    <w:qFormat/>
    <w:uiPriority w:val="0"/>
  </w:style>
  <w:style w:type="character" w:customStyle="1" w:styleId="11">
    <w:name w:val="bookconten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r:id="rId1" ax:persistence="persistStorag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ITÖ/ETHZ</Company>
  <Pages>2</Pages>
  <Words>278</Words>
  <Characters>1754</Characters>
  <Lines>14</Lines>
  <Paragraphs>4</Paragraphs>
  <ScaleCrop>false</ScaleCrop>
  <LinksUpToDate>false</LinksUpToDate>
  <CharactersWithSpaces>2028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2017-02-05T10:12:00Z</dcterms:created>
  <dc:creator>Stephanie</dc:creator>
  <cp:lastModifiedBy>刘承宜</cp:lastModifiedBy>
  <cp:lastPrinted>2012-03-06T08:56:00Z</cp:lastPrinted>
  <dcterms:modified xsi:type="dcterms:W3CDTF">2018-04-15T10:56:17Z</dcterms:modified>
  <dc:title>Title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