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149" w:rsidRPr="00491149" w:rsidRDefault="00491149" w:rsidP="00491149">
      <w:pPr>
        <w:jc w:val="center"/>
        <w:rPr>
          <w:rFonts w:ascii="Arial" w:eastAsia="ＭＳ 明朝" w:hAnsi="Arial" w:cs="Arial"/>
          <w:b/>
          <w:kern w:val="2"/>
          <w:sz w:val="28"/>
          <w:szCs w:val="28"/>
          <w:lang w:eastAsia="ja-JP"/>
        </w:rPr>
      </w:pPr>
      <w:bookmarkStart w:id="0" w:name="_GoBack"/>
      <w:bookmarkEnd w:id="0"/>
      <w:r w:rsidRPr="00491149">
        <w:rPr>
          <w:rFonts w:ascii="Arial" w:eastAsia="ＭＳ 明朝" w:hAnsi="Arial" w:cs="Arial"/>
          <w:b/>
          <w:kern w:val="2"/>
          <w:sz w:val="28"/>
          <w:szCs w:val="28"/>
          <w:lang w:eastAsia="ja-JP"/>
        </w:rPr>
        <w:t xml:space="preserve">The Usefulness of a New Device as the Monitor of Cerebral Blood Oxygenation using NIRS during CPR in Patients with Cardiac arrest </w:t>
      </w:r>
    </w:p>
    <w:p w:rsidR="00491149" w:rsidRPr="00491149" w:rsidRDefault="00491149" w:rsidP="00491149">
      <w:pPr>
        <w:widowControl w:val="0"/>
        <w:spacing w:after="0" w:line="240" w:lineRule="auto"/>
        <w:jc w:val="center"/>
        <w:rPr>
          <w:rFonts w:ascii="Arial" w:eastAsia="ＭＳ 明朝" w:hAnsi="Arial" w:cs="Arial"/>
          <w:b/>
          <w:kern w:val="2"/>
          <w:sz w:val="28"/>
          <w:szCs w:val="28"/>
          <w:lang w:eastAsia="ja-JP"/>
        </w:rPr>
      </w:pPr>
    </w:p>
    <w:p w:rsidR="00491149" w:rsidRPr="00491149" w:rsidRDefault="00491149" w:rsidP="00491149">
      <w:pPr>
        <w:widowControl w:val="0"/>
        <w:spacing w:after="0" w:line="240" w:lineRule="auto"/>
        <w:jc w:val="center"/>
        <w:rPr>
          <w:rFonts w:ascii="Arial" w:eastAsia="ＭＳ 明朝" w:hAnsi="Arial" w:cs="Arial"/>
          <w:kern w:val="2"/>
          <w:lang w:eastAsia="ja-JP"/>
        </w:rPr>
      </w:pPr>
      <w:r w:rsidRPr="00491149">
        <w:rPr>
          <w:rFonts w:ascii="Arial" w:eastAsia="ＭＳ 明朝" w:hAnsi="Arial" w:cs="Arial"/>
          <w:b/>
          <w:kern w:val="2"/>
          <w:lang w:eastAsia="ja-JP"/>
        </w:rPr>
        <w:t>T. Yagi</w:t>
      </w:r>
      <w:r w:rsidRPr="00491149">
        <w:rPr>
          <w:rFonts w:ascii="Arial" w:eastAsia="ＭＳ 明朝" w:hAnsi="Arial" w:cs="Arial"/>
          <w:kern w:val="2"/>
          <w:vertAlign w:val="superscript"/>
          <w:lang w:eastAsia="ja-JP"/>
        </w:rPr>
        <w:t>abc</w:t>
      </w:r>
      <w:r w:rsidRPr="00491149">
        <w:rPr>
          <w:rFonts w:ascii="Arial" w:eastAsia="ＭＳ 明朝" w:hAnsi="Arial" w:cs="Arial"/>
          <w:kern w:val="2"/>
          <w:lang w:eastAsia="ja-JP"/>
        </w:rPr>
        <w:t>, T. Kawamorita</w:t>
      </w:r>
      <w:r w:rsidRPr="00491149">
        <w:rPr>
          <w:rFonts w:ascii="Arial" w:eastAsia="ＭＳ 明朝" w:hAnsi="Arial" w:cs="Arial"/>
          <w:kern w:val="2"/>
          <w:vertAlign w:val="superscript"/>
          <w:lang w:eastAsia="ja-JP"/>
        </w:rPr>
        <w:t>ad</w:t>
      </w:r>
      <w:bookmarkStart w:id="1" w:name="_Hlk510625361"/>
      <w:r w:rsidRPr="00491149">
        <w:rPr>
          <w:rFonts w:ascii="Arial" w:eastAsia="ＭＳ 明朝" w:hAnsi="Arial" w:cs="Arial"/>
          <w:kern w:val="2"/>
          <w:lang w:eastAsia="ja-JP"/>
        </w:rPr>
        <w:t xml:space="preserve">, </w:t>
      </w:r>
      <w:bookmarkEnd w:id="1"/>
      <w:r w:rsidRPr="00491149">
        <w:rPr>
          <w:rFonts w:ascii="Arial" w:eastAsia="ＭＳ 明朝" w:hAnsi="Arial" w:cs="Arial"/>
          <w:kern w:val="2"/>
          <w:lang w:eastAsia="ja-JP"/>
        </w:rPr>
        <w:t>E. Tachibana</w:t>
      </w:r>
      <w:r w:rsidRPr="00491149">
        <w:rPr>
          <w:rFonts w:ascii="Arial" w:eastAsia="ＭＳ 明朝" w:hAnsi="Arial" w:cs="Arial"/>
          <w:kern w:val="2"/>
          <w:vertAlign w:val="superscript"/>
          <w:lang w:eastAsia="ja-JP"/>
        </w:rPr>
        <w:t>a</w:t>
      </w:r>
      <w:r w:rsidRPr="00491149">
        <w:rPr>
          <w:rFonts w:ascii="Arial" w:eastAsia="ＭＳ 明朝" w:hAnsi="Arial" w:cs="Arial"/>
          <w:kern w:val="2"/>
          <w:lang w:eastAsia="ja-JP"/>
        </w:rPr>
        <w:t>, K. Kuronuma</w:t>
      </w:r>
      <w:r w:rsidRPr="00491149">
        <w:rPr>
          <w:rFonts w:ascii="Arial" w:eastAsia="ＭＳ 明朝" w:hAnsi="Arial" w:cs="Arial"/>
          <w:kern w:val="2"/>
          <w:vertAlign w:val="superscript"/>
          <w:lang w:eastAsia="ja-JP"/>
        </w:rPr>
        <w:t>a</w:t>
      </w:r>
      <w:r w:rsidRPr="00491149">
        <w:rPr>
          <w:rFonts w:ascii="Arial" w:eastAsia="ＭＳ 明朝" w:hAnsi="Arial" w:cs="Arial"/>
          <w:kern w:val="2"/>
          <w:lang w:eastAsia="ja-JP"/>
        </w:rPr>
        <w:t>, W. Atsumi</w:t>
      </w:r>
      <w:r w:rsidRPr="00491149">
        <w:rPr>
          <w:rFonts w:ascii="Arial" w:eastAsia="ＭＳ 明朝" w:hAnsi="Arial" w:cs="Arial"/>
          <w:kern w:val="2"/>
          <w:vertAlign w:val="superscript"/>
          <w:lang w:eastAsia="ja-JP"/>
        </w:rPr>
        <w:t>a</w:t>
      </w:r>
      <w:r w:rsidRPr="00491149">
        <w:rPr>
          <w:rFonts w:ascii="Arial" w:eastAsia="ＭＳ 明朝" w:hAnsi="Arial" w:cs="Arial"/>
          <w:kern w:val="2"/>
          <w:lang w:eastAsia="ja-JP"/>
        </w:rPr>
        <w:t>, N. Chiba</w:t>
      </w:r>
      <w:r w:rsidRPr="00491149">
        <w:rPr>
          <w:rFonts w:ascii="Arial" w:eastAsia="ＭＳ 明朝" w:hAnsi="Arial" w:cs="Arial"/>
          <w:kern w:val="2"/>
          <w:vertAlign w:val="superscript"/>
          <w:lang w:eastAsia="ja-JP"/>
        </w:rPr>
        <w:t>d</w:t>
      </w:r>
      <w:r w:rsidRPr="00491149">
        <w:rPr>
          <w:rFonts w:ascii="Arial" w:eastAsia="ＭＳ 明朝" w:hAnsi="Arial" w:cs="Arial"/>
          <w:kern w:val="2"/>
          <w:lang w:eastAsia="ja-JP"/>
        </w:rPr>
        <w:t xml:space="preserve">, </w:t>
      </w:r>
    </w:p>
    <w:p w:rsidR="00491149" w:rsidRDefault="00491149" w:rsidP="00491149">
      <w:pPr>
        <w:widowControl w:val="0"/>
        <w:spacing w:after="0" w:line="240" w:lineRule="auto"/>
        <w:jc w:val="center"/>
        <w:rPr>
          <w:rFonts w:ascii="Arial" w:eastAsia="ＭＳ 明朝" w:hAnsi="Arial" w:cs="Arial"/>
          <w:kern w:val="2"/>
          <w:vertAlign w:val="superscript"/>
          <w:lang w:eastAsia="ja-JP"/>
        </w:rPr>
      </w:pPr>
      <w:r w:rsidRPr="00491149">
        <w:rPr>
          <w:rFonts w:ascii="Arial" w:eastAsia="ＭＳ 明朝" w:hAnsi="Arial" w:cs="Arial"/>
          <w:kern w:val="2"/>
          <w:lang w:eastAsia="ja-JP"/>
        </w:rPr>
        <w:t>K. Watanabe</w:t>
      </w:r>
      <w:r w:rsidRPr="00491149">
        <w:rPr>
          <w:rFonts w:ascii="Arial" w:eastAsia="ＭＳ 明朝" w:hAnsi="Arial" w:cs="Arial"/>
          <w:kern w:val="2"/>
          <w:vertAlign w:val="superscript"/>
          <w:lang w:eastAsia="ja-JP"/>
        </w:rPr>
        <w:t>bd</w:t>
      </w:r>
      <w:r w:rsidRPr="00491149">
        <w:rPr>
          <w:rFonts w:ascii="Arial" w:eastAsia="ＭＳ 明朝" w:hAnsi="Arial" w:cs="Arial"/>
          <w:kern w:val="2"/>
          <w:lang w:eastAsia="ja-JP"/>
        </w:rPr>
        <w:t>, S. Kunimoto</w:t>
      </w:r>
      <w:r w:rsidRPr="00491149">
        <w:rPr>
          <w:rFonts w:ascii="Arial" w:eastAsia="ＭＳ 明朝" w:hAnsi="Arial" w:cs="Arial"/>
          <w:kern w:val="2"/>
          <w:vertAlign w:val="superscript"/>
          <w:lang w:eastAsia="ja-JP"/>
        </w:rPr>
        <w:t>a</w:t>
      </w:r>
      <w:r w:rsidRPr="00491149">
        <w:rPr>
          <w:rFonts w:ascii="Arial" w:eastAsia="ＭＳ 明朝" w:hAnsi="Arial" w:cs="Arial"/>
          <w:kern w:val="2"/>
          <w:lang w:eastAsia="ja-JP"/>
        </w:rPr>
        <w:t>, S. Tani</w:t>
      </w:r>
      <w:r w:rsidRPr="00491149">
        <w:rPr>
          <w:rFonts w:ascii="Arial" w:eastAsia="ＭＳ 明朝" w:hAnsi="Arial" w:cs="Arial"/>
          <w:kern w:val="2"/>
          <w:vertAlign w:val="superscript"/>
          <w:lang w:eastAsia="ja-JP"/>
        </w:rPr>
        <w:t>b</w:t>
      </w:r>
      <w:r w:rsidRPr="00491149">
        <w:rPr>
          <w:rFonts w:ascii="Arial" w:eastAsia="ＭＳ 明朝" w:hAnsi="Arial" w:cs="Arial"/>
          <w:kern w:val="2"/>
          <w:lang w:eastAsia="ja-JP"/>
        </w:rPr>
        <w:t>, N. Matsumoto</w:t>
      </w:r>
      <w:r w:rsidRPr="00491149">
        <w:rPr>
          <w:rFonts w:ascii="Arial" w:eastAsia="ＭＳ 明朝" w:hAnsi="Arial" w:cs="Arial"/>
          <w:kern w:val="2"/>
          <w:vertAlign w:val="superscript"/>
          <w:lang w:eastAsia="ja-JP"/>
        </w:rPr>
        <w:t>b</w:t>
      </w:r>
      <w:r w:rsidRPr="00491149">
        <w:rPr>
          <w:rFonts w:ascii="Arial" w:eastAsia="ＭＳ 明朝" w:hAnsi="Arial" w:cs="Arial"/>
          <w:kern w:val="2"/>
          <w:lang w:eastAsia="ja-JP"/>
        </w:rPr>
        <w:t>, L. B. Becker</w:t>
      </w:r>
      <w:r w:rsidRPr="00491149">
        <w:rPr>
          <w:rFonts w:ascii="Arial" w:eastAsia="ＭＳ 明朝" w:hAnsi="Arial" w:cs="Arial"/>
          <w:kern w:val="2"/>
          <w:vertAlign w:val="superscript"/>
          <w:lang w:eastAsia="ja-JP"/>
        </w:rPr>
        <w:t>c</w:t>
      </w:r>
      <w:r w:rsidRPr="00491149">
        <w:rPr>
          <w:rFonts w:ascii="Arial" w:eastAsia="ＭＳ 明朝" w:hAnsi="Arial" w:cs="Arial"/>
          <w:kern w:val="2"/>
          <w:lang w:eastAsia="ja-JP"/>
        </w:rPr>
        <w:t>, K. Sakatani</w:t>
      </w:r>
      <w:r w:rsidRPr="00491149">
        <w:rPr>
          <w:rFonts w:ascii="Arial" w:eastAsia="ＭＳ 明朝" w:hAnsi="Arial" w:cs="Arial"/>
          <w:kern w:val="2"/>
          <w:vertAlign w:val="superscript"/>
          <w:lang w:eastAsia="ja-JP"/>
        </w:rPr>
        <w:t>e</w:t>
      </w:r>
    </w:p>
    <w:p w:rsidR="00491149" w:rsidRPr="00491149" w:rsidRDefault="00491149" w:rsidP="00491149">
      <w:pPr>
        <w:widowControl w:val="0"/>
        <w:spacing w:after="0" w:line="240" w:lineRule="auto"/>
        <w:jc w:val="center"/>
        <w:rPr>
          <w:rFonts w:ascii="Arial" w:eastAsia="ＭＳ 明朝" w:hAnsi="Arial" w:cs="Arial"/>
          <w:kern w:val="2"/>
          <w:lang w:eastAsia="ja-JP"/>
        </w:rPr>
      </w:pPr>
    </w:p>
    <w:p w:rsidR="00491149" w:rsidRPr="00491149" w:rsidRDefault="00491149" w:rsidP="00491149">
      <w:pPr>
        <w:widowControl w:val="0"/>
        <w:spacing w:after="0" w:line="240" w:lineRule="auto"/>
        <w:jc w:val="center"/>
        <w:rPr>
          <w:rFonts w:ascii="Arial" w:eastAsia="ＭＳ 明朝" w:hAnsi="Arial" w:cs="Arial"/>
          <w:i/>
          <w:kern w:val="2"/>
          <w:sz w:val="22"/>
          <w:szCs w:val="22"/>
          <w:lang w:eastAsia="ja-JP"/>
        </w:rPr>
      </w:pPr>
      <w:r w:rsidRPr="00491149">
        <w:rPr>
          <w:rFonts w:ascii="Arial" w:eastAsia="ＭＳ 明朝" w:hAnsi="Arial" w:cs="Arial"/>
          <w:i/>
          <w:kern w:val="2"/>
          <w:sz w:val="22"/>
          <w:szCs w:val="22"/>
          <w:vertAlign w:val="superscript"/>
          <w:lang w:eastAsia="ja-JP"/>
        </w:rPr>
        <w:t>a</w:t>
      </w:r>
      <w:r w:rsidRPr="00491149">
        <w:rPr>
          <w:rFonts w:ascii="Arial" w:eastAsia="ＭＳ 明朝" w:hAnsi="Arial" w:cs="Arial"/>
          <w:i/>
          <w:kern w:val="2"/>
          <w:sz w:val="22"/>
          <w:szCs w:val="22"/>
          <w:lang w:eastAsia="ja-JP"/>
        </w:rPr>
        <w:t xml:space="preserve"> Dept. of Cardiology, Kawaguchi Municipal Medical Center, Japan</w:t>
      </w:r>
    </w:p>
    <w:p w:rsidR="00491149" w:rsidRPr="00491149" w:rsidRDefault="00491149" w:rsidP="00491149">
      <w:pPr>
        <w:widowControl w:val="0"/>
        <w:spacing w:after="0" w:line="240" w:lineRule="auto"/>
        <w:jc w:val="center"/>
        <w:rPr>
          <w:rFonts w:ascii="Arial" w:eastAsia="ＭＳ 明朝" w:hAnsi="Arial" w:cs="Arial"/>
          <w:i/>
          <w:kern w:val="2"/>
          <w:sz w:val="22"/>
          <w:szCs w:val="22"/>
          <w:lang w:eastAsia="ja-JP"/>
        </w:rPr>
      </w:pPr>
      <w:r w:rsidRPr="00491149">
        <w:rPr>
          <w:rFonts w:ascii="Arial" w:eastAsia="ＭＳ 明朝" w:hAnsi="Arial" w:cs="Arial"/>
          <w:i/>
          <w:kern w:val="2"/>
          <w:sz w:val="22"/>
          <w:szCs w:val="22"/>
          <w:vertAlign w:val="superscript"/>
          <w:lang w:eastAsia="ja-JP"/>
        </w:rPr>
        <w:t>b</w:t>
      </w:r>
      <w:r w:rsidRPr="00491149">
        <w:rPr>
          <w:rFonts w:ascii="Arial" w:eastAsia="ＭＳ 明朝" w:hAnsi="Arial" w:cs="Arial"/>
          <w:i/>
          <w:kern w:val="2"/>
          <w:sz w:val="22"/>
          <w:szCs w:val="22"/>
          <w:lang w:eastAsia="ja-JP"/>
        </w:rPr>
        <w:t xml:space="preserve"> Dept. of Cardiology, Nihon University Hospital, Japan</w:t>
      </w:r>
    </w:p>
    <w:p w:rsidR="00491149" w:rsidRPr="00491149" w:rsidRDefault="00491149" w:rsidP="00491149">
      <w:pPr>
        <w:widowControl w:val="0"/>
        <w:spacing w:after="0" w:line="240" w:lineRule="auto"/>
        <w:jc w:val="center"/>
        <w:rPr>
          <w:rFonts w:ascii="Arial" w:eastAsia="ＭＳ 明朝" w:hAnsi="Arial" w:cs="Arial"/>
          <w:i/>
          <w:kern w:val="2"/>
          <w:sz w:val="22"/>
          <w:szCs w:val="22"/>
          <w:lang w:eastAsia="ja-JP"/>
        </w:rPr>
      </w:pPr>
      <w:r w:rsidRPr="00491149">
        <w:rPr>
          <w:rFonts w:ascii="Arial" w:eastAsia="ＭＳ 明朝" w:hAnsi="Arial" w:cs="Arial"/>
          <w:i/>
          <w:kern w:val="2"/>
          <w:sz w:val="22"/>
          <w:szCs w:val="22"/>
          <w:vertAlign w:val="superscript"/>
          <w:lang w:eastAsia="ja-JP"/>
        </w:rPr>
        <w:t xml:space="preserve">c </w:t>
      </w:r>
      <w:r w:rsidRPr="00491149">
        <w:rPr>
          <w:rFonts w:ascii="Arial" w:eastAsia="ＭＳ 明朝" w:hAnsi="Arial" w:cs="Arial"/>
          <w:i/>
          <w:kern w:val="2"/>
          <w:sz w:val="22"/>
          <w:szCs w:val="22"/>
          <w:lang w:eastAsia="ja-JP"/>
        </w:rPr>
        <w:t xml:space="preserve">The Feinstein Institute for Medical Research, Northwell Health System, USA </w:t>
      </w:r>
    </w:p>
    <w:p w:rsidR="00491149" w:rsidRPr="00491149" w:rsidRDefault="00491149" w:rsidP="00491149">
      <w:pPr>
        <w:widowControl w:val="0"/>
        <w:spacing w:after="0" w:line="240" w:lineRule="auto"/>
        <w:jc w:val="center"/>
        <w:rPr>
          <w:rFonts w:ascii="Arial" w:eastAsia="ＭＳ 明朝" w:hAnsi="Arial" w:cs="Arial"/>
          <w:i/>
          <w:kern w:val="2"/>
          <w:sz w:val="22"/>
          <w:szCs w:val="22"/>
          <w:lang w:eastAsia="ja-JP"/>
        </w:rPr>
      </w:pPr>
      <w:r w:rsidRPr="00491149">
        <w:rPr>
          <w:rFonts w:ascii="Arial" w:eastAsia="ＭＳ 明朝" w:hAnsi="Arial" w:cs="Arial"/>
          <w:i/>
          <w:kern w:val="2"/>
          <w:sz w:val="22"/>
          <w:szCs w:val="22"/>
          <w:vertAlign w:val="superscript"/>
          <w:lang w:eastAsia="ja-JP"/>
        </w:rPr>
        <w:t>d</w:t>
      </w:r>
      <w:r w:rsidRPr="00491149">
        <w:rPr>
          <w:rFonts w:ascii="Arial" w:eastAsia="ＭＳ 明朝" w:hAnsi="Arial" w:cs="Arial"/>
          <w:i/>
          <w:kern w:val="2"/>
          <w:sz w:val="22"/>
          <w:szCs w:val="22"/>
          <w:lang w:eastAsia="ja-JP"/>
        </w:rPr>
        <w:t xml:space="preserve"> Dept. of Emergency and Critical Care Medicine, Nihon University Hospital, Japan</w:t>
      </w:r>
    </w:p>
    <w:p w:rsidR="00491149" w:rsidRPr="00491149" w:rsidRDefault="00491149" w:rsidP="00491149">
      <w:pPr>
        <w:widowControl w:val="0"/>
        <w:spacing w:after="0" w:line="240" w:lineRule="auto"/>
        <w:jc w:val="center"/>
        <w:rPr>
          <w:rFonts w:ascii="Arial" w:eastAsia="ＭＳ 明朝" w:hAnsi="Arial" w:cs="Arial"/>
          <w:i/>
          <w:kern w:val="2"/>
          <w:sz w:val="22"/>
          <w:szCs w:val="22"/>
          <w:lang w:eastAsia="ja-JP"/>
        </w:rPr>
      </w:pPr>
      <w:r w:rsidRPr="00491149">
        <w:rPr>
          <w:rFonts w:ascii="Arial" w:eastAsia="ＭＳ 明朝" w:hAnsi="Arial" w:cs="Arial"/>
          <w:i/>
          <w:kern w:val="2"/>
          <w:sz w:val="22"/>
          <w:szCs w:val="22"/>
          <w:vertAlign w:val="superscript"/>
          <w:lang w:eastAsia="ja-JP"/>
        </w:rPr>
        <w:t>e</w:t>
      </w:r>
      <w:r w:rsidRPr="00491149">
        <w:rPr>
          <w:rFonts w:ascii="Arial" w:eastAsia="ＭＳ 明朝" w:hAnsi="Arial" w:cs="Arial"/>
          <w:i/>
          <w:kern w:val="2"/>
          <w:sz w:val="22"/>
          <w:szCs w:val="22"/>
          <w:lang w:eastAsia="ja-JP"/>
        </w:rPr>
        <w:t xml:space="preserve"> NEWCAT Institute, Nihon University College of Engineering, Japan</w:t>
      </w:r>
    </w:p>
    <w:p w:rsidR="00491149" w:rsidRDefault="00491149" w:rsidP="00491149">
      <w:pPr>
        <w:widowControl w:val="0"/>
        <w:spacing w:after="0" w:line="240" w:lineRule="auto"/>
        <w:jc w:val="center"/>
        <w:rPr>
          <w:rFonts w:ascii="Arial" w:eastAsia="ＭＳ 明朝" w:hAnsi="Arial" w:cs="Arial"/>
          <w:i/>
          <w:kern w:val="2"/>
          <w:sz w:val="22"/>
          <w:szCs w:val="22"/>
          <w:lang w:eastAsia="ja-JP"/>
        </w:rPr>
      </w:pPr>
    </w:p>
    <w:p w:rsidR="00491149" w:rsidRPr="00491149" w:rsidRDefault="00491149" w:rsidP="00491149">
      <w:pPr>
        <w:widowControl w:val="0"/>
        <w:spacing w:after="0" w:line="240" w:lineRule="auto"/>
        <w:jc w:val="center"/>
        <w:rPr>
          <w:rFonts w:ascii="Arial" w:eastAsia="ＭＳ 明朝" w:hAnsi="Arial" w:cs="Arial"/>
          <w:i/>
          <w:kern w:val="2"/>
          <w:sz w:val="22"/>
          <w:szCs w:val="22"/>
          <w:lang w:eastAsia="ja-JP"/>
        </w:rPr>
      </w:pPr>
      <w:r w:rsidRPr="00491149">
        <w:rPr>
          <w:rFonts w:ascii="Arial" w:eastAsia="ＭＳ 明朝" w:hAnsi="Arial" w:cs="Arial"/>
          <w:i/>
          <w:kern w:val="2"/>
          <w:sz w:val="22"/>
          <w:szCs w:val="22"/>
          <w:lang w:eastAsia="ja-JP"/>
        </w:rPr>
        <w:t xml:space="preserve">Corresponding author </w:t>
      </w:r>
      <w:r w:rsidRPr="00491149">
        <w:rPr>
          <w:rFonts w:ascii="Arial" w:eastAsia="ＭＳ 明朝" w:hAnsi="Arial" w:cs="Arial" w:hint="eastAsia"/>
          <w:i/>
          <w:kern w:val="2"/>
          <w:sz w:val="22"/>
          <w:szCs w:val="22"/>
          <w:lang w:eastAsia="ja-JP"/>
        </w:rPr>
        <w:t xml:space="preserve">email address; </w:t>
      </w:r>
      <w:hyperlink r:id="rId8" w:history="1">
        <w:r w:rsidRPr="00491149">
          <w:rPr>
            <w:rFonts w:ascii="Arial" w:eastAsia="ＭＳ 明朝" w:hAnsi="Arial" w:cs="Arial"/>
            <w:i/>
            <w:color w:val="0000FF"/>
            <w:kern w:val="2"/>
            <w:sz w:val="22"/>
            <w:szCs w:val="22"/>
            <w:u w:val="single"/>
            <w:lang w:eastAsia="ja-JP"/>
          </w:rPr>
          <w:t>tsuyagi-circ</w:t>
        </w:r>
        <w:r w:rsidRPr="00491149">
          <w:rPr>
            <w:rFonts w:ascii="Arial" w:eastAsia="ＭＳ 明朝" w:hAnsi="Arial" w:cs="Arial" w:hint="eastAsia"/>
            <w:i/>
            <w:color w:val="0000FF"/>
            <w:kern w:val="2"/>
            <w:sz w:val="22"/>
            <w:szCs w:val="22"/>
            <w:u w:val="single"/>
            <w:lang w:eastAsia="ja-JP"/>
          </w:rPr>
          <w:t>@</w:t>
        </w:r>
        <w:r w:rsidRPr="00491149">
          <w:rPr>
            <w:rFonts w:ascii="Arial" w:eastAsia="ＭＳ 明朝" w:hAnsi="Arial" w:cs="Arial"/>
            <w:i/>
            <w:color w:val="0000FF"/>
            <w:kern w:val="2"/>
            <w:sz w:val="22"/>
            <w:szCs w:val="22"/>
            <w:u w:val="single"/>
            <w:lang w:eastAsia="ja-JP"/>
          </w:rPr>
          <w:t>umin.ac.jp</w:t>
        </w:r>
      </w:hyperlink>
    </w:p>
    <w:p w:rsidR="00536063" w:rsidRDefault="00536063">
      <w:pPr>
        <w:spacing w:after="0" w:line="240" w:lineRule="auto"/>
        <w:jc w:val="center"/>
        <w:rPr>
          <w:rFonts w:ascii="Arial" w:hAnsi="Arial" w:cs="Arial"/>
          <w:i/>
        </w:rPr>
      </w:pPr>
    </w:p>
    <w:p w:rsidR="00491149" w:rsidRPr="00491149" w:rsidRDefault="00A86019" w:rsidP="00491149">
      <w:pPr>
        <w:rPr>
          <w:rFonts w:ascii="Arial" w:eastAsia="ＭＳ 明朝" w:hAnsi="Arial" w:cs="Arial"/>
          <w:kern w:val="2"/>
          <w:lang w:eastAsia="ja-JP"/>
        </w:rPr>
      </w:pPr>
      <w:r>
        <w:rPr>
          <w:rFonts w:ascii="Arial" w:eastAsia="SimSun" w:hAnsi="Arial" w:cs="Arial"/>
          <w:b/>
          <w:color w:val="000000"/>
        </w:rPr>
        <w:t>Abstract:</w:t>
      </w:r>
      <w:r w:rsidR="009748F1">
        <w:rPr>
          <w:rFonts w:ascii="Arial" w:eastAsiaTheme="minorEastAsia" w:hAnsi="Arial" w:cs="Arial" w:hint="eastAsia"/>
          <w:b/>
          <w:color w:val="000000"/>
          <w:lang w:eastAsia="ko-KR"/>
        </w:rPr>
        <w:t xml:space="preserve"> </w:t>
      </w:r>
      <w:r w:rsidR="00491149" w:rsidRPr="00491149">
        <w:rPr>
          <w:rFonts w:ascii="Arial" w:eastAsia="ＭＳ 明朝" w:hAnsi="Arial" w:cs="Arial"/>
          <w:kern w:val="2"/>
          <w:lang w:eastAsia="ja-JP"/>
        </w:rPr>
        <w:t>Recent guidelines on cardiopulmonary resuscitation (CPR) have stressed the necessity for improving the quality of CPR. In previous studies, we reported the usefulness of monitoring of cerebral blood oxygenation (CBO) during CPR by near-infrared spectroscopy (NIRS) (NIRO-200NX, Hamamatsu Photonics, Japan). In the present study, we evaluated whether NIRO-CCR1, a new NIRS device (Hamamatsu Photonics, Japan) would be as useful in the clinical setting as NIRO-200NX. Table 1 shows a comparison of the characteristics between NIRO-200NX and NIRO-CCR1. We monitored CBO in 20 patients with cardiac arrest by NIRS (using NIRO-200NX in 19 patients and using NIRO-CCR1 in one patient). On arrival of the patient at the emergency department, the attending physician immediately assessed whether the patient was eligible for this study after conventional advanced life support, and if eligible, measured the CBO in the frontal lobe by NIRS. We found that the cerebral blood flow waveform was in synchrony with the chest compressions in all patients. Moreover, the tissue oxygenation index (TOI) and SnO2 (saturation of the waveform) increased following implementation of emergency cardiopulmonary bypass (ECPB) in the patients in whom ECPB was performed, including in the patient in whom the CBO was monitored using NIRO-CCR1. In addition, although NIRO-CCR1 could display the pulse rate (Tempo) in real time, the pulse rate was sometimes not detected despite detection of cerebral blood flow waveform. This suggested that the chest compressions may not have been effective, so that NIRO-CCR1 also appears to be useful to assess the quality of CPR. The present study suggested that NIRO-CCR1 could measure CBO during CPR in patients with cardiac arrest as well as NIRO-200NX, and may even be more useful, especially in prehospital fields, such as inside ambulances, as they are not only easy to use, but also easy to carry.</w:t>
      </w:r>
    </w:p>
    <w:p w:rsidR="00536063" w:rsidRDefault="00491149">
      <w:pPr>
        <w:ind w:left="720"/>
        <w:rPr>
          <w:rFonts w:ascii="Arial" w:hAnsi="Arial" w:cs="Arial"/>
        </w:rPr>
      </w:pPr>
      <w:r w:rsidRPr="00491149">
        <w:rPr>
          <w:rFonts w:ascii="Arial" w:eastAsia="ＭＳ 明朝" w:hAnsi="Arial" w:cs="Arial"/>
          <w:noProof/>
          <w:sz w:val="22"/>
          <w:szCs w:val="22"/>
          <w:lang w:eastAsia="ja-JP"/>
        </w:rPr>
        <w:drawing>
          <wp:anchor distT="0" distB="0" distL="114300" distR="114300" simplePos="0" relativeHeight="251658240" behindDoc="0" locked="0" layoutInCell="1" allowOverlap="1" wp14:anchorId="42C580C0" wp14:editId="2DE921EA">
            <wp:simplePos x="0" y="0"/>
            <wp:positionH relativeFrom="column">
              <wp:posOffset>3025140</wp:posOffset>
            </wp:positionH>
            <wp:positionV relativeFrom="paragraph">
              <wp:posOffset>7620</wp:posOffset>
            </wp:positionV>
            <wp:extent cx="3261360" cy="1834515"/>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1360" cy="183451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Table 1</w:t>
      </w:r>
    </w:p>
    <w:p w:rsidR="00D84360" w:rsidRDefault="00514F29" w:rsidP="004767E4">
      <w:pPr>
        <w:tabs>
          <w:tab w:val="left" w:pos="1418"/>
          <w:tab w:val="left" w:pos="4536"/>
        </w:tabs>
        <w:rPr>
          <w:sz w:val="22"/>
          <w:szCs w:val="22"/>
        </w:rPr>
      </w:pPr>
      <w:r>
        <w:rPr>
          <w:rFonts w:ascii="Arial" w:hAnsi="Arial" w:cs="Arial"/>
        </w:rPr>
        <w:t>I prefer:</w:t>
      </w:r>
      <w:r w:rsidR="00D84360">
        <w:rPr>
          <w:rFonts w:ascii="Arial" w:hAnsi="Arial" w:cs="Arial"/>
        </w:rPr>
        <w:tab/>
      </w:r>
      <w:r w:rsidR="0022452E">
        <w:rPr>
          <w:rFonts w:ascii="Arial" w:hAnsi="Arial" w:cs="Arial"/>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8pt;height:19.8pt" o:ole="">
            <v:imagedata r:id="rId10" o:title=""/>
          </v:shape>
          <w:control r:id="rId11" w:name="OptionButton1" w:shapeid="_x0000_i1029"/>
        </w:object>
      </w:r>
      <w:r w:rsidR="00D84360">
        <w:rPr>
          <w:rFonts w:ascii="Arial" w:hAnsi="Arial" w:cs="Arial"/>
        </w:rPr>
        <w:tab/>
      </w:r>
      <w:r w:rsidR="0022452E">
        <w:rPr>
          <w:rFonts w:ascii="Arial" w:hAnsi="Arial" w:cs="Arial"/>
        </w:rPr>
        <w:object w:dxaOrig="225" w:dyaOrig="225">
          <v:shape id="_x0000_i1031" type="#_x0000_t75" style="width:148.8pt;height:19.8pt" o:ole="">
            <v:imagedata r:id="rId12" o:title=""/>
          </v:shape>
          <w:control r:id="rId13" w:name="OptionButton2" w:shapeid="_x0000_i1031"/>
        </w:object>
      </w:r>
    </w:p>
    <w:sectPr w:rsidR="00D84360" w:rsidSect="008727B8">
      <w:pgSz w:w="11906" w:h="16838"/>
      <w:pgMar w:top="1418" w:right="1418" w:bottom="1134"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8EE" w:rsidRDefault="004D18EE" w:rsidP="004D18EE">
      <w:pPr>
        <w:spacing w:after="0" w:line="240" w:lineRule="auto"/>
      </w:pPr>
      <w:r>
        <w:separator/>
      </w:r>
    </w:p>
  </w:endnote>
  <w:endnote w:type="continuationSeparator" w:id="0">
    <w:p w:rsidR="004D18EE" w:rsidRDefault="004D18EE" w:rsidP="004D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8EE" w:rsidRDefault="004D18EE" w:rsidP="004D18EE">
      <w:pPr>
        <w:spacing w:after="0" w:line="240" w:lineRule="auto"/>
      </w:pPr>
      <w:r>
        <w:separator/>
      </w:r>
    </w:p>
  </w:footnote>
  <w:footnote w:type="continuationSeparator" w:id="0">
    <w:p w:rsidR="004D18EE" w:rsidRDefault="004D18EE" w:rsidP="004D1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16FD7"/>
    <w:multiLevelType w:val="multilevel"/>
    <w:tmpl w:val="2E716FD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456E4F57"/>
    <w:multiLevelType w:val="multilevel"/>
    <w:tmpl w:val="456E4F57"/>
    <w:lvl w:ilvl="0">
      <w:start w:val="1"/>
      <w:numFmt w:val="lowerLetter"/>
      <w:lvlText w:val="%1)"/>
      <w:lvlJc w:val="left"/>
      <w:pPr>
        <w:ind w:left="1512" w:hanging="360"/>
      </w:pPr>
      <w:rPr>
        <w:rFonts w:hint="default"/>
      </w:rPr>
    </w:lvl>
    <w:lvl w:ilvl="1" w:tentative="1">
      <w:start w:val="1"/>
      <w:numFmt w:val="lowerLetter"/>
      <w:lvlText w:val="%2."/>
      <w:lvlJc w:val="left"/>
      <w:pPr>
        <w:ind w:left="2232" w:hanging="360"/>
      </w:pPr>
    </w:lvl>
    <w:lvl w:ilvl="2" w:tentative="1">
      <w:start w:val="1"/>
      <w:numFmt w:val="lowerRoman"/>
      <w:lvlText w:val="%3."/>
      <w:lvlJc w:val="right"/>
      <w:pPr>
        <w:ind w:left="2952" w:hanging="180"/>
      </w:pPr>
    </w:lvl>
    <w:lvl w:ilvl="3" w:tentative="1">
      <w:start w:val="1"/>
      <w:numFmt w:val="decimal"/>
      <w:lvlText w:val="%4."/>
      <w:lvlJc w:val="left"/>
      <w:pPr>
        <w:ind w:left="3672" w:hanging="360"/>
      </w:pPr>
    </w:lvl>
    <w:lvl w:ilvl="4" w:tentative="1">
      <w:start w:val="1"/>
      <w:numFmt w:val="lowerLetter"/>
      <w:lvlText w:val="%5."/>
      <w:lvlJc w:val="left"/>
      <w:pPr>
        <w:ind w:left="4392" w:hanging="360"/>
      </w:pPr>
    </w:lvl>
    <w:lvl w:ilvl="5" w:tentative="1">
      <w:start w:val="1"/>
      <w:numFmt w:val="lowerRoman"/>
      <w:lvlText w:val="%6."/>
      <w:lvlJc w:val="right"/>
      <w:pPr>
        <w:ind w:left="5112" w:hanging="180"/>
      </w:pPr>
    </w:lvl>
    <w:lvl w:ilvl="6" w:tentative="1">
      <w:start w:val="1"/>
      <w:numFmt w:val="decimal"/>
      <w:lvlText w:val="%7."/>
      <w:lvlJc w:val="left"/>
      <w:pPr>
        <w:ind w:left="5832" w:hanging="360"/>
      </w:pPr>
    </w:lvl>
    <w:lvl w:ilvl="7" w:tentative="1">
      <w:start w:val="1"/>
      <w:numFmt w:val="lowerLetter"/>
      <w:lvlText w:val="%8."/>
      <w:lvlJc w:val="left"/>
      <w:pPr>
        <w:ind w:left="6552" w:hanging="360"/>
      </w:pPr>
    </w:lvl>
    <w:lvl w:ilvl="8" w:tentative="1">
      <w:start w:val="1"/>
      <w:numFmt w:val="lowerRoman"/>
      <w:lvlText w:val="%9."/>
      <w:lvlJc w:val="right"/>
      <w:pPr>
        <w:ind w:left="727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10241"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2"/>
    <w:compatSetting w:name="useWord2013TrackBottomHyphenation" w:uri="http://schemas.microsoft.com/office/word" w:val="1"/>
  </w:compat>
  <w:rsids>
    <w:rsidRoot w:val="00812CCA"/>
    <w:rsid w:val="000214CB"/>
    <w:rsid w:val="00042078"/>
    <w:rsid w:val="000B0BE9"/>
    <w:rsid w:val="00103CE4"/>
    <w:rsid w:val="001248EF"/>
    <w:rsid w:val="00182D5C"/>
    <w:rsid w:val="001E5599"/>
    <w:rsid w:val="0022452E"/>
    <w:rsid w:val="00226BCA"/>
    <w:rsid w:val="0026095E"/>
    <w:rsid w:val="002761FE"/>
    <w:rsid w:val="00282746"/>
    <w:rsid w:val="002C3083"/>
    <w:rsid w:val="00304608"/>
    <w:rsid w:val="004767E4"/>
    <w:rsid w:val="00491149"/>
    <w:rsid w:val="004A6398"/>
    <w:rsid w:val="004D18EE"/>
    <w:rsid w:val="004E6648"/>
    <w:rsid w:val="00514F29"/>
    <w:rsid w:val="00536063"/>
    <w:rsid w:val="00555A7D"/>
    <w:rsid w:val="00643F12"/>
    <w:rsid w:val="006533FC"/>
    <w:rsid w:val="00653440"/>
    <w:rsid w:val="00682B60"/>
    <w:rsid w:val="00685C5F"/>
    <w:rsid w:val="006E51B7"/>
    <w:rsid w:val="006F031C"/>
    <w:rsid w:val="007109F1"/>
    <w:rsid w:val="00750E77"/>
    <w:rsid w:val="00793262"/>
    <w:rsid w:val="00812CCA"/>
    <w:rsid w:val="00856AA7"/>
    <w:rsid w:val="008727B8"/>
    <w:rsid w:val="008C0A91"/>
    <w:rsid w:val="008F1F76"/>
    <w:rsid w:val="009465E3"/>
    <w:rsid w:val="009748F1"/>
    <w:rsid w:val="00A478D2"/>
    <w:rsid w:val="00A50945"/>
    <w:rsid w:val="00A86019"/>
    <w:rsid w:val="00AE00E0"/>
    <w:rsid w:val="00B77F3F"/>
    <w:rsid w:val="00B920D5"/>
    <w:rsid w:val="00C4265A"/>
    <w:rsid w:val="00C43FF3"/>
    <w:rsid w:val="00C55CE3"/>
    <w:rsid w:val="00CB5844"/>
    <w:rsid w:val="00D301FC"/>
    <w:rsid w:val="00D72A09"/>
    <w:rsid w:val="00D84360"/>
    <w:rsid w:val="00DA1FFD"/>
    <w:rsid w:val="00E2366C"/>
    <w:rsid w:val="00E946D5"/>
    <w:rsid w:val="00F60912"/>
    <w:rsid w:val="022C0F84"/>
    <w:rsid w:val="07446A8C"/>
    <w:rsid w:val="3E6A3C52"/>
    <w:rsid w:val="463F088D"/>
    <w:rsid w:val="65C1466B"/>
  </w:rsids>
  <m:mathPr>
    <m:mathFont m:val="Cambria Math"/>
    <m:brkBin m:val="before"/>
    <m:brkBinSub m:val="--"/>
    <m:smallFrac/>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4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B4D957C-B0F6-4289-A89C-6CE7E23B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727B8"/>
    <w:pPr>
      <w:spacing w:after="200" w:line="276" w:lineRule="auto"/>
    </w:pPr>
    <w:rPr>
      <w:rFonts w:eastAsia="Times New Roman"/>
      <w:sz w:val="24"/>
      <w:szCs w:val="24"/>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8727B8"/>
    <w:pPr>
      <w:spacing w:after="0" w:line="240" w:lineRule="auto"/>
    </w:pPr>
    <w:rPr>
      <w:rFonts w:ascii="Tahoma" w:hAnsi="Tahoma" w:cs="Tahoma"/>
      <w:sz w:val="16"/>
      <w:szCs w:val="16"/>
    </w:rPr>
  </w:style>
  <w:style w:type="character" w:styleId="a5">
    <w:name w:val="Hyperlink"/>
    <w:rsid w:val="008727B8"/>
    <w:rPr>
      <w:color w:val="0000FF"/>
      <w:u w:val="single"/>
    </w:rPr>
  </w:style>
  <w:style w:type="character" w:customStyle="1" w:styleId="a4">
    <w:name w:val="吹き出し (文字)"/>
    <w:link w:val="a3"/>
    <w:rsid w:val="008727B8"/>
    <w:rPr>
      <w:rFonts w:ascii="Tahoma" w:eastAsia="Times New Roman" w:hAnsi="Tahoma" w:cs="Tahoma"/>
      <w:sz w:val="16"/>
      <w:szCs w:val="16"/>
    </w:rPr>
  </w:style>
  <w:style w:type="character" w:styleId="a6">
    <w:name w:val="FollowedHyperlink"/>
    <w:basedOn w:val="a0"/>
    <w:rsid w:val="008C0A91"/>
    <w:rPr>
      <w:color w:val="800080" w:themeColor="followedHyperlink"/>
      <w:u w:val="single"/>
    </w:rPr>
  </w:style>
  <w:style w:type="paragraph" w:styleId="a7">
    <w:name w:val="header"/>
    <w:basedOn w:val="a"/>
    <w:link w:val="a8"/>
    <w:rsid w:val="004D18EE"/>
    <w:pPr>
      <w:tabs>
        <w:tab w:val="center" w:pos="4513"/>
        <w:tab w:val="right" w:pos="9026"/>
      </w:tabs>
      <w:snapToGrid w:val="0"/>
    </w:pPr>
  </w:style>
  <w:style w:type="character" w:customStyle="1" w:styleId="a8">
    <w:name w:val="ヘッダー (文字)"/>
    <w:basedOn w:val="a0"/>
    <w:link w:val="a7"/>
    <w:rsid w:val="004D18EE"/>
    <w:rPr>
      <w:rFonts w:eastAsia="Times New Roman"/>
      <w:sz w:val="24"/>
      <w:szCs w:val="24"/>
      <w:lang w:val="en-US" w:eastAsia="zh-CN"/>
    </w:rPr>
  </w:style>
  <w:style w:type="paragraph" w:styleId="a9">
    <w:name w:val="footer"/>
    <w:basedOn w:val="a"/>
    <w:link w:val="aa"/>
    <w:rsid w:val="004D18EE"/>
    <w:pPr>
      <w:tabs>
        <w:tab w:val="center" w:pos="4513"/>
        <w:tab w:val="right" w:pos="9026"/>
      </w:tabs>
      <w:snapToGrid w:val="0"/>
    </w:pPr>
  </w:style>
  <w:style w:type="character" w:customStyle="1" w:styleId="aa">
    <w:name w:val="フッター (文字)"/>
    <w:basedOn w:val="a0"/>
    <w:link w:val="a9"/>
    <w:rsid w:val="004D18EE"/>
    <w:rPr>
      <w:rFonts w:eastAsia="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ygt0108@gmail.com" TargetMode="External"/><Relationship Id="rId13" Type="http://schemas.openxmlformats.org/officeDocument/2006/relationships/control" Target="activeX/activeX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412</Words>
  <Characters>2351</Characters>
  <Application>Microsoft Office Word</Application>
  <DocSecurity>0</DocSecurity>
  <Lines>19</Lines>
  <Paragraphs>5</Paragraphs>
  <ScaleCrop>false</ScaleCrop>
  <HeadingPairs>
    <vt:vector size="4" baseType="variant">
      <vt:variant>
        <vt:lpstr>タイトル</vt:lpstr>
      </vt:variant>
      <vt:variant>
        <vt:i4>1</vt:i4>
      </vt:variant>
      <vt:variant>
        <vt:lpstr>Titel</vt:lpstr>
      </vt:variant>
      <vt:variant>
        <vt:i4>1</vt:i4>
      </vt:variant>
    </vt:vector>
  </HeadingPairs>
  <TitlesOfParts>
    <vt:vector size="2" baseType="lpstr">
      <vt:lpstr>Title</vt:lpstr>
      <vt:lpstr>Title</vt:lpstr>
    </vt:vector>
  </TitlesOfParts>
  <Company>ITÖ/ETHZ</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Stephanie</dc:creator>
  <cp:lastModifiedBy>司 八木</cp:lastModifiedBy>
  <cp:revision>3</cp:revision>
  <cp:lastPrinted>2012-03-06T08:56:00Z</cp:lastPrinted>
  <dcterms:created xsi:type="dcterms:W3CDTF">2018-04-04T21:27:00Z</dcterms:created>
  <dcterms:modified xsi:type="dcterms:W3CDTF">2018-04-04T21:29:00Z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