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063" w:rsidRPr="004D18EE" w:rsidRDefault="00A86019">
      <w:pPr>
        <w:jc w:val="center"/>
        <w:rPr>
          <w:rFonts w:ascii="Arial" w:eastAsiaTheme="minorEastAsia" w:hAnsi="Arial" w:cs="Arial"/>
          <w:b/>
          <w:sz w:val="32"/>
          <w:szCs w:val="32"/>
          <w:lang w:eastAsia="ko-KR"/>
        </w:rPr>
      </w:pPr>
      <w:r>
        <w:rPr>
          <w:rFonts w:ascii="Arial" w:hAnsi="Arial" w:cs="Arial"/>
          <w:b/>
          <w:sz w:val="32"/>
          <w:szCs w:val="32"/>
        </w:rPr>
        <w:t>Abstract Submission Instructions for ISOTT 201</w:t>
      </w:r>
      <w:r w:rsidR="004D18EE">
        <w:rPr>
          <w:rFonts w:ascii="Arial" w:eastAsiaTheme="minorEastAsia" w:hAnsi="Arial" w:cs="Arial" w:hint="eastAsia"/>
          <w:b/>
          <w:sz w:val="32"/>
          <w:szCs w:val="32"/>
          <w:lang w:eastAsia="ko-KR"/>
        </w:rPr>
        <w:t>8</w:t>
      </w:r>
    </w:p>
    <w:p w:rsidR="00536063" w:rsidRDefault="00536063">
      <w:pPr>
        <w:jc w:val="center"/>
        <w:rPr>
          <w:rFonts w:ascii="Arial" w:hAnsi="Arial" w:cs="Arial"/>
          <w:b/>
          <w:sz w:val="32"/>
          <w:szCs w:val="32"/>
        </w:rPr>
      </w:pPr>
    </w:p>
    <w:p w:rsidR="000214CB" w:rsidRDefault="000214C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the Microsoft Word template on the next page with the specified formatting for your abstract.</w:t>
      </w:r>
    </w:p>
    <w:p w:rsidR="00536063" w:rsidRPr="000214CB" w:rsidRDefault="00A86019" w:rsidP="000214CB">
      <w:pPr>
        <w:numPr>
          <w:ilvl w:val="0"/>
          <w:numId w:val="1"/>
        </w:numPr>
        <w:rPr>
          <w:rFonts w:ascii="Arial" w:hAnsi="Arial" w:cs="Arial"/>
        </w:rPr>
      </w:pPr>
      <w:r w:rsidRPr="000214CB">
        <w:rPr>
          <w:rFonts w:ascii="Arial" w:hAnsi="Arial" w:cs="Arial"/>
        </w:rPr>
        <w:t xml:space="preserve">Limit abstracts to a single A4 </w:t>
      </w:r>
      <w:r w:rsidR="00514F29">
        <w:rPr>
          <w:rFonts w:ascii="Arial" w:hAnsi="Arial" w:cs="Arial"/>
        </w:rPr>
        <w:t xml:space="preserve">page </w:t>
      </w:r>
      <w:r w:rsidRPr="000214CB">
        <w:rPr>
          <w:rFonts w:ascii="Arial" w:hAnsi="Arial" w:cs="Arial"/>
        </w:rPr>
        <w:t>(including if needed references and figures).</w:t>
      </w:r>
    </w:p>
    <w:p w:rsidR="00536063" w:rsidRDefault="00A8601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Arial 12 point justified text with single line spacing and no empty lines before and after paragraphs.</w:t>
      </w:r>
    </w:p>
    <w:p w:rsidR="00536063" w:rsidRDefault="00A8601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 margins at 2.5cm on the Top, Left and Right and 2cm at the Bottom.</w:t>
      </w:r>
    </w:p>
    <w:p w:rsidR="009465E3" w:rsidRDefault="009465E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Indicate at the end of the abstract (radio buttons) if you wish to be considered for an oral or poster presentation.</w:t>
      </w:r>
    </w:p>
    <w:p w:rsidR="00536063" w:rsidRDefault="00536063">
      <w:pPr>
        <w:ind w:left="720"/>
        <w:rPr>
          <w:rFonts w:ascii="Arial" w:hAnsi="Arial" w:cs="Arial"/>
          <w:sz w:val="28"/>
          <w:szCs w:val="28"/>
        </w:rPr>
      </w:pPr>
    </w:p>
    <w:p w:rsidR="009465E3" w:rsidRDefault="009465E3" w:rsidP="009465E3">
      <w:pPr>
        <w:rPr>
          <w:rFonts w:ascii="Arial" w:hAnsi="Arial" w:cs="Arial"/>
          <w:sz w:val="28"/>
          <w:szCs w:val="28"/>
        </w:rPr>
      </w:pPr>
    </w:p>
    <w:p w:rsidR="000214CB" w:rsidRDefault="000214CB" w:rsidP="000214CB">
      <w:pPr>
        <w:jc w:val="center"/>
        <w:rPr>
          <w:b/>
        </w:rPr>
      </w:pPr>
    </w:p>
    <w:p w:rsidR="000214CB" w:rsidRDefault="000214CB" w:rsidP="000214CB">
      <w:pPr>
        <w:jc w:val="center"/>
        <w:rPr>
          <w:sz w:val="22"/>
          <w:szCs w:val="22"/>
        </w:rPr>
      </w:pPr>
      <w:r>
        <w:rPr>
          <w:rFonts w:ascii="Arial" w:hAnsi="Arial" w:cs="Arial"/>
          <w:b/>
          <w:sz w:val="28"/>
        </w:rPr>
        <w:t xml:space="preserve">Deadline for abstract submission: </w:t>
      </w:r>
      <w:r w:rsidR="004D18EE">
        <w:rPr>
          <w:rFonts w:ascii="Arial" w:eastAsiaTheme="minorEastAsia" w:hAnsi="Arial" w:cs="Arial" w:hint="eastAsia"/>
          <w:b/>
          <w:sz w:val="28"/>
          <w:u w:val="single"/>
          <w:lang w:eastAsia="ko-KR"/>
        </w:rPr>
        <w:t>April15</w:t>
      </w:r>
      <w:r>
        <w:rPr>
          <w:rFonts w:ascii="Arial" w:eastAsia="SimSun" w:hAnsi="Arial" w:cs="Arial" w:hint="eastAsia"/>
          <w:b/>
          <w:sz w:val="28"/>
          <w:u w:val="single"/>
          <w:vertAlign w:val="superscript"/>
        </w:rPr>
        <w:t>st</w:t>
      </w:r>
      <w:r>
        <w:rPr>
          <w:rFonts w:ascii="Arial" w:eastAsia="SimSun" w:hAnsi="Arial" w:cs="Arial" w:hint="eastAsia"/>
          <w:b/>
          <w:sz w:val="28"/>
          <w:u w:val="single"/>
        </w:rPr>
        <w:t>,</w:t>
      </w:r>
      <w:r>
        <w:rPr>
          <w:rFonts w:ascii="Arial" w:hAnsi="Arial" w:cs="Arial"/>
          <w:b/>
          <w:sz w:val="28"/>
          <w:u w:val="single"/>
        </w:rPr>
        <w:t xml:space="preserve"> 201</w:t>
      </w:r>
      <w:r w:rsidR="004D18EE">
        <w:rPr>
          <w:rFonts w:ascii="Arial" w:eastAsiaTheme="minorEastAsia" w:hAnsi="Arial" w:cs="Arial" w:hint="eastAsia"/>
          <w:b/>
          <w:sz w:val="28"/>
          <w:u w:val="single"/>
          <w:lang w:eastAsia="ko-KR"/>
        </w:rPr>
        <w:t>8</w:t>
      </w:r>
      <w:r>
        <w:rPr>
          <w:sz w:val="20"/>
          <w:szCs w:val="20"/>
        </w:rPr>
        <w:t>.</w:t>
      </w:r>
    </w:p>
    <w:p w:rsidR="006673C6" w:rsidRDefault="000214CB">
      <w:pPr>
        <w:shd w:val="clear" w:color="auto" w:fill="FFFFFF"/>
        <w:spacing w:after="225" w:line="270" w:lineRule="atLeast"/>
        <w:jc w:val="center"/>
        <w:rPr>
          <w:rFonts w:ascii="Arial" w:eastAsia="SimSun" w:hAnsi="Arial" w:cs="Arial"/>
          <w:b/>
          <w:bCs/>
          <w:color w:val="000000"/>
          <w:sz w:val="28"/>
          <w:szCs w:val="28"/>
        </w:rPr>
      </w:pPr>
      <w:r>
        <w:rPr>
          <w:rFonts w:ascii="Arial" w:eastAsia="SimSun" w:hAnsi="Arial" w:cs="Arial"/>
          <w:b/>
          <w:bCs/>
          <w:color w:val="000000"/>
          <w:sz w:val="28"/>
          <w:szCs w:val="28"/>
        </w:rPr>
        <w:br w:type="page"/>
      </w:r>
      <w:r w:rsidR="006673C6">
        <w:rPr>
          <w:rFonts w:ascii="Arial" w:eastAsia="SimSun" w:hAnsi="Arial" w:cs="Arial"/>
          <w:b/>
          <w:bCs/>
          <w:color w:val="000000"/>
          <w:sz w:val="28"/>
          <w:szCs w:val="28"/>
        </w:rPr>
        <w:lastRenderedPageBreak/>
        <w:t xml:space="preserve">Measurement of </w:t>
      </w:r>
      <w:r w:rsidR="004415BD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transcutaneous </w:t>
      </w:r>
      <w:r w:rsidR="006673C6">
        <w:rPr>
          <w:rFonts w:ascii="Arial" w:eastAsia="SimSun" w:hAnsi="Arial" w:cs="Arial"/>
          <w:b/>
          <w:bCs/>
          <w:color w:val="000000"/>
          <w:sz w:val="28"/>
          <w:szCs w:val="28"/>
        </w:rPr>
        <w:t>oxygen saturation in human tissue using a modified L</w:t>
      </w:r>
      <w:r w:rsidR="00D21D14" w:rsidRPr="00D21D14">
        <w:rPr>
          <w:rFonts w:ascii="Arial" w:eastAsia="SimSun" w:hAnsi="Arial" w:cs="Arial"/>
          <w:b/>
          <w:bCs/>
          <w:color w:val="000000"/>
          <w:sz w:val="28"/>
          <w:szCs w:val="28"/>
        </w:rPr>
        <w:t>ü</w:t>
      </w:r>
      <w:r w:rsidR="006673C6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bbers transformation </w:t>
      </w:r>
      <w:r w:rsidR="00D21D14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function </w:t>
      </w:r>
      <w:r w:rsidR="006673C6">
        <w:rPr>
          <w:rFonts w:ascii="Arial" w:eastAsia="SimSun" w:hAnsi="Arial" w:cs="Arial"/>
          <w:b/>
          <w:bCs/>
          <w:color w:val="000000"/>
          <w:sz w:val="28"/>
          <w:szCs w:val="28"/>
        </w:rPr>
        <w:t>method</w:t>
      </w:r>
      <w:r w:rsidR="00D21D14">
        <w:rPr>
          <w:rFonts w:ascii="Arial" w:eastAsia="SimSun" w:hAnsi="Arial" w:cs="Arial"/>
          <w:b/>
          <w:bCs/>
          <w:color w:val="000000"/>
          <w:sz w:val="28"/>
          <w:szCs w:val="28"/>
        </w:rPr>
        <w:t>.</w:t>
      </w:r>
    </w:p>
    <w:p w:rsidR="00536063" w:rsidRDefault="00C003E5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Victor J. Ochoa</w:t>
      </w:r>
      <w:r w:rsidR="00A86019">
        <w:rPr>
          <w:rFonts w:ascii="Arial" w:hAnsi="Arial" w:cs="Arial"/>
          <w:b/>
          <w:vertAlign w:val="superscript"/>
        </w:rPr>
        <w:t>a</w:t>
      </w:r>
      <w:r w:rsidR="008216A0">
        <w:rPr>
          <w:rFonts w:ascii="Arial" w:hAnsi="Arial" w:cs="Arial"/>
          <w:b/>
          <w:vertAlign w:val="superscript"/>
        </w:rPr>
        <w:t>,</w:t>
      </w:r>
      <w:r w:rsidR="00CB4A1A">
        <w:rPr>
          <w:rFonts w:ascii="Arial" w:hAnsi="Arial" w:cs="Arial"/>
          <w:b/>
          <w:vertAlign w:val="superscript"/>
        </w:rPr>
        <w:t>b</w:t>
      </w:r>
      <w:r w:rsidR="00A86019">
        <w:rPr>
          <w:rFonts w:ascii="Arial" w:hAnsi="Arial" w:cs="Arial"/>
        </w:rPr>
        <w:t xml:space="preserve">, </w:t>
      </w:r>
      <w:r w:rsidR="00156830" w:rsidRPr="00156830">
        <w:rPr>
          <w:rFonts w:ascii="Arial" w:hAnsi="Arial" w:cs="Arial"/>
        </w:rPr>
        <w:t>Andrew R</w:t>
      </w:r>
      <w:r w:rsidR="00CB4A1A">
        <w:rPr>
          <w:rFonts w:ascii="Arial" w:hAnsi="Arial" w:cs="Arial"/>
        </w:rPr>
        <w:t>.</w:t>
      </w:r>
      <w:r w:rsidR="00156830" w:rsidRPr="00156830">
        <w:rPr>
          <w:rFonts w:ascii="Arial" w:hAnsi="Arial" w:cs="Arial"/>
        </w:rPr>
        <w:t xml:space="preserve"> Harvey </w:t>
      </w:r>
      <w:r w:rsidR="00A86019">
        <w:rPr>
          <w:rFonts w:ascii="Arial" w:hAnsi="Arial" w:cs="Arial"/>
          <w:vertAlign w:val="superscript"/>
        </w:rPr>
        <w:t>a</w:t>
      </w:r>
      <w:r w:rsidR="00CB4A1A">
        <w:rPr>
          <w:rFonts w:ascii="Arial" w:hAnsi="Arial" w:cs="Arial"/>
        </w:rPr>
        <w:t xml:space="preserve"> and </w:t>
      </w:r>
      <w:r w:rsidR="00156830" w:rsidRPr="00156830">
        <w:rPr>
          <w:rFonts w:ascii="Arial" w:hAnsi="Arial" w:cs="Arial"/>
        </w:rPr>
        <w:t xml:space="preserve">Jonathan M. Cooper </w:t>
      </w:r>
      <w:r w:rsidR="00A86019">
        <w:rPr>
          <w:rFonts w:ascii="Arial" w:hAnsi="Arial" w:cs="Arial"/>
          <w:vertAlign w:val="superscript"/>
        </w:rPr>
        <w:t>b</w:t>
      </w:r>
    </w:p>
    <w:p w:rsidR="00CB4A1A" w:rsidRPr="00CB4A1A" w:rsidRDefault="00A86019" w:rsidP="008216A0">
      <w:pPr>
        <w:spacing w:after="0" w:line="240" w:lineRule="auto"/>
        <w:jc w:val="center"/>
        <w:rPr>
          <w:rFonts w:ascii="Arial" w:hAnsi="Arial" w:cs="Arial"/>
          <w:i/>
          <w:sz w:val="22"/>
          <w:szCs w:val="22"/>
        </w:rPr>
      </w:pPr>
      <w:r w:rsidRPr="00CB4A1A">
        <w:rPr>
          <w:rFonts w:ascii="Arial" w:eastAsia="SimSun" w:hAnsi="Arial" w:cs="Arial" w:hint="eastAsia"/>
          <w:i/>
          <w:sz w:val="22"/>
          <w:szCs w:val="22"/>
          <w:vertAlign w:val="superscript"/>
        </w:rPr>
        <w:t xml:space="preserve">a </w:t>
      </w:r>
      <w:r w:rsidR="00CB4A1A" w:rsidRPr="00CB4A1A">
        <w:rPr>
          <w:rFonts w:ascii="Arial" w:hAnsi="Arial" w:cs="Arial"/>
          <w:i/>
          <w:sz w:val="22"/>
          <w:szCs w:val="22"/>
        </w:rPr>
        <w:t xml:space="preserve">Division of Biomedical Engineering, School of Engineering, </w:t>
      </w:r>
      <w:r w:rsidR="008216A0" w:rsidRPr="00CB4A1A">
        <w:rPr>
          <w:rFonts w:ascii="Arial" w:eastAsia="SimSun" w:hAnsi="Arial" w:cs="Arial" w:hint="eastAsia"/>
          <w:i/>
          <w:sz w:val="22"/>
          <w:szCs w:val="22"/>
          <w:vertAlign w:val="superscript"/>
        </w:rPr>
        <w:t xml:space="preserve">b </w:t>
      </w:r>
      <w:r w:rsidR="008216A0" w:rsidRPr="00CB4A1A">
        <w:rPr>
          <w:rFonts w:ascii="Arial" w:hAnsi="Arial" w:cs="Arial"/>
          <w:i/>
          <w:sz w:val="22"/>
          <w:szCs w:val="22"/>
        </w:rPr>
        <w:t>School of Physics and Astronomy, Univ</w:t>
      </w:r>
      <w:r w:rsidR="008216A0">
        <w:rPr>
          <w:rFonts w:ascii="Arial" w:hAnsi="Arial" w:cs="Arial"/>
          <w:i/>
          <w:sz w:val="22"/>
          <w:szCs w:val="22"/>
        </w:rPr>
        <w:t>ersity of Glasgow, G12 8QQ, UK.</w:t>
      </w:r>
    </w:p>
    <w:p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:rsidR="00536063" w:rsidRPr="00156830" w:rsidRDefault="00A86019" w:rsidP="00156830">
      <w:pPr>
        <w:spacing w:after="0" w:line="240" w:lineRule="auto"/>
        <w:jc w:val="center"/>
        <w:rPr>
          <w:rFonts w:ascii="Arial" w:hAnsi="Arial" w:cs="Arial"/>
          <w:i/>
          <w:sz w:val="22"/>
          <w:szCs w:val="22"/>
        </w:rPr>
      </w:pPr>
      <w:r w:rsidRPr="00156830">
        <w:rPr>
          <w:rFonts w:ascii="Arial" w:hAnsi="Arial" w:cs="Arial"/>
          <w:i/>
          <w:sz w:val="22"/>
          <w:szCs w:val="22"/>
        </w:rPr>
        <w:t xml:space="preserve">Corresponding </w:t>
      </w:r>
      <w:r w:rsidRPr="00156830">
        <w:rPr>
          <w:rFonts w:ascii="Arial" w:hAnsi="Arial" w:cs="Arial" w:hint="eastAsia"/>
          <w:i/>
          <w:sz w:val="22"/>
          <w:szCs w:val="22"/>
        </w:rPr>
        <w:t>a</w:t>
      </w:r>
      <w:r w:rsidRPr="00156830">
        <w:rPr>
          <w:rFonts w:ascii="Arial" w:hAnsi="Arial" w:cs="Arial"/>
          <w:i/>
          <w:sz w:val="22"/>
          <w:szCs w:val="22"/>
        </w:rPr>
        <w:t>uthor</w:t>
      </w:r>
      <w:r w:rsidR="00D811F7">
        <w:rPr>
          <w:rFonts w:ascii="Arial" w:hAnsi="Arial" w:cs="Arial"/>
          <w:i/>
          <w:sz w:val="22"/>
          <w:szCs w:val="22"/>
        </w:rPr>
        <w:t>s</w:t>
      </w:r>
      <w:r w:rsidRPr="00156830">
        <w:rPr>
          <w:rFonts w:ascii="Arial" w:hAnsi="Arial" w:cs="Arial"/>
          <w:i/>
          <w:sz w:val="22"/>
          <w:szCs w:val="22"/>
        </w:rPr>
        <w:t xml:space="preserve"> e-mail address</w:t>
      </w:r>
      <w:r w:rsidR="00D811F7">
        <w:rPr>
          <w:rFonts w:ascii="Arial" w:hAnsi="Arial" w:cs="Arial"/>
          <w:i/>
          <w:sz w:val="22"/>
          <w:szCs w:val="22"/>
        </w:rPr>
        <w:t>es</w:t>
      </w:r>
      <w:r w:rsidRPr="00156830">
        <w:rPr>
          <w:rFonts w:ascii="Arial" w:hAnsi="Arial" w:cs="Arial"/>
          <w:i/>
          <w:sz w:val="22"/>
          <w:szCs w:val="22"/>
        </w:rPr>
        <w:t xml:space="preserve">: </w:t>
      </w:r>
      <w:r w:rsidR="00156830" w:rsidRPr="00156830">
        <w:rPr>
          <w:rFonts w:ascii="Arial" w:hAnsi="Arial" w:cs="Arial"/>
          <w:i/>
          <w:sz w:val="22"/>
          <w:szCs w:val="22"/>
        </w:rPr>
        <w:t>jon.cooper@glasgow.ac.uk,</w:t>
      </w:r>
      <w:r w:rsidR="00263F27" w:rsidRPr="00263F27">
        <w:rPr>
          <w:rFonts w:ascii="Arial" w:hAnsi="Arial" w:cs="Arial"/>
          <w:i/>
          <w:sz w:val="22"/>
          <w:szCs w:val="22"/>
        </w:rPr>
        <w:t>andy.harvey@glasgow.ac.uk</w:t>
      </w:r>
    </w:p>
    <w:p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:rsidR="008216A0" w:rsidRDefault="00A86019" w:rsidP="00723AF9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r>
        <w:rPr>
          <w:rFonts w:ascii="Arial" w:eastAsia="SimSun" w:hAnsi="Arial" w:cs="Arial"/>
          <w:b/>
          <w:color w:val="000000"/>
        </w:rPr>
        <w:t>Abstract:</w:t>
      </w:r>
      <w:r w:rsidR="00ED3B8C">
        <w:rPr>
          <w:rFonts w:ascii="Arial" w:eastAsia="SimSun" w:hAnsi="Arial" w:cs="Arial"/>
          <w:b/>
          <w:color w:val="000000"/>
        </w:rPr>
        <w:t xml:space="preserve"> </w:t>
      </w:r>
      <w:r w:rsidR="00A60E4A">
        <w:rPr>
          <w:rFonts w:ascii="Arial" w:eastAsia="SimSun" w:hAnsi="Arial" w:cs="Arial"/>
          <w:color w:val="000000"/>
        </w:rPr>
        <w:t xml:space="preserve">An important </w:t>
      </w:r>
      <w:r w:rsidR="00463501" w:rsidRPr="00463501">
        <w:rPr>
          <w:rFonts w:ascii="Arial" w:eastAsia="SimSun" w:hAnsi="Arial" w:cs="Arial"/>
          <w:color w:val="000000"/>
        </w:rPr>
        <w:t>contribution</w:t>
      </w:r>
      <w:r w:rsidR="00D811F7">
        <w:rPr>
          <w:rFonts w:ascii="Arial" w:eastAsia="SimSun" w:hAnsi="Arial" w:cs="Arial"/>
          <w:color w:val="000000"/>
        </w:rPr>
        <w:t xml:space="preserve"> to the measurement of blood oxygenation (1-3)</w:t>
      </w:r>
      <w:r w:rsidR="00463501">
        <w:rPr>
          <w:rFonts w:ascii="Arial" w:eastAsia="SimSun" w:hAnsi="Arial" w:cs="Arial"/>
          <w:color w:val="000000"/>
        </w:rPr>
        <w:t xml:space="preserve"> was made almost </w:t>
      </w:r>
      <w:r w:rsidR="00CE7A65">
        <w:rPr>
          <w:rFonts w:ascii="Arial" w:eastAsia="SimSun" w:hAnsi="Arial" w:cs="Arial"/>
          <w:color w:val="000000"/>
        </w:rPr>
        <w:t>40 years ago</w:t>
      </w:r>
      <w:r w:rsidR="00ED3B8C">
        <w:rPr>
          <w:rFonts w:ascii="Arial" w:eastAsia="SimSun" w:hAnsi="Arial" w:cs="Arial"/>
          <w:color w:val="000000"/>
        </w:rPr>
        <w:t xml:space="preserve"> </w:t>
      </w:r>
      <w:r w:rsidR="00463501">
        <w:rPr>
          <w:rFonts w:ascii="Arial" w:eastAsia="SimSun" w:hAnsi="Arial" w:cs="Arial"/>
          <w:color w:val="000000"/>
        </w:rPr>
        <w:t xml:space="preserve">by </w:t>
      </w:r>
      <w:r w:rsidR="002366BC">
        <w:rPr>
          <w:rFonts w:ascii="Arial" w:eastAsia="SimSun" w:hAnsi="Arial" w:cs="Arial"/>
          <w:color w:val="000000"/>
        </w:rPr>
        <w:t>L</w:t>
      </w:r>
      <w:r w:rsidR="00545FE9" w:rsidRPr="00545FE9">
        <w:rPr>
          <w:rFonts w:ascii="Arial" w:eastAsia="SimSun" w:hAnsi="Arial" w:cs="Arial"/>
          <w:color w:val="000000"/>
        </w:rPr>
        <w:t>ü</w:t>
      </w:r>
      <w:r w:rsidR="002366BC">
        <w:rPr>
          <w:rFonts w:ascii="Arial" w:eastAsia="SimSun" w:hAnsi="Arial" w:cs="Arial"/>
          <w:color w:val="000000"/>
        </w:rPr>
        <w:t>bbers</w:t>
      </w:r>
      <w:r w:rsidR="00D811F7">
        <w:rPr>
          <w:rFonts w:ascii="Arial" w:eastAsia="SimSun" w:hAnsi="Arial" w:cs="Arial"/>
          <w:color w:val="000000"/>
        </w:rPr>
        <w:t xml:space="preserve"> et al (4-6)</w:t>
      </w:r>
      <w:r w:rsidR="00463501">
        <w:rPr>
          <w:rFonts w:ascii="Arial" w:eastAsia="SimSun" w:hAnsi="Arial" w:cs="Arial"/>
          <w:color w:val="000000"/>
        </w:rPr>
        <w:t xml:space="preserve">,he </w:t>
      </w:r>
      <w:r w:rsidR="008216A0">
        <w:rPr>
          <w:rFonts w:ascii="Arial" w:eastAsia="SimSun" w:hAnsi="Arial" w:cs="Arial"/>
          <w:color w:val="000000"/>
        </w:rPr>
        <w:t>devised</w:t>
      </w:r>
      <w:r w:rsidR="00D811F7">
        <w:rPr>
          <w:rFonts w:ascii="Arial" w:eastAsia="SimSun" w:hAnsi="Arial" w:cs="Arial"/>
          <w:color w:val="000000"/>
        </w:rPr>
        <w:t xml:space="preserve"> a method to compare</w:t>
      </w:r>
      <w:r w:rsidR="00ED3B8C">
        <w:rPr>
          <w:rFonts w:ascii="Arial" w:eastAsia="SimSun" w:hAnsi="Arial" w:cs="Arial"/>
          <w:color w:val="000000"/>
        </w:rPr>
        <w:t xml:space="preserve"> </w:t>
      </w:r>
      <w:r w:rsidR="00CE7A65">
        <w:rPr>
          <w:rFonts w:ascii="Arial" w:eastAsia="SimSun" w:hAnsi="Arial" w:cs="Arial"/>
          <w:color w:val="000000"/>
        </w:rPr>
        <w:t xml:space="preserve">the </w:t>
      </w:r>
      <w:r w:rsidR="00D811F7">
        <w:rPr>
          <w:rFonts w:ascii="Arial" w:eastAsia="SimSun" w:hAnsi="Arial" w:cs="Arial"/>
          <w:color w:val="000000"/>
        </w:rPr>
        <w:t xml:space="preserve">spectra </w:t>
      </w:r>
      <w:r w:rsidR="00CE7A65">
        <w:rPr>
          <w:rFonts w:ascii="Arial" w:eastAsia="SimSun" w:hAnsi="Arial" w:cs="Arial"/>
          <w:color w:val="000000"/>
        </w:rPr>
        <w:t>measured</w:t>
      </w:r>
      <w:r w:rsidR="00D811F7">
        <w:rPr>
          <w:rFonts w:ascii="Arial" w:eastAsia="SimSun" w:hAnsi="Arial" w:cs="Arial"/>
          <w:color w:val="000000"/>
        </w:rPr>
        <w:t xml:space="preserve"> after </w:t>
      </w:r>
      <w:r w:rsidR="008216A0">
        <w:rPr>
          <w:rFonts w:ascii="Arial" w:eastAsia="SimSun" w:hAnsi="Arial" w:cs="Arial"/>
          <w:color w:val="000000"/>
        </w:rPr>
        <w:t xml:space="preserve">the </w:t>
      </w:r>
      <w:r w:rsidR="00D811F7">
        <w:rPr>
          <w:rFonts w:ascii="Arial" w:eastAsia="SimSun" w:hAnsi="Arial" w:cs="Arial"/>
          <w:color w:val="000000"/>
        </w:rPr>
        <w:t>reflection of light from the</w:t>
      </w:r>
      <w:r w:rsidR="00CE7A65">
        <w:rPr>
          <w:rFonts w:ascii="Arial" w:eastAsia="SimSun" w:hAnsi="Arial" w:cs="Arial"/>
          <w:color w:val="000000"/>
        </w:rPr>
        <w:t xml:space="preserve"> skin against</w:t>
      </w:r>
      <w:r w:rsidR="00D811F7">
        <w:rPr>
          <w:rFonts w:ascii="Arial" w:eastAsia="SimSun" w:hAnsi="Arial" w:cs="Arial"/>
          <w:color w:val="000000"/>
        </w:rPr>
        <w:t xml:space="preserve"> that of</w:t>
      </w:r>
      <w:r w:rsidR="00CE7A65">
        <w:rPr>
          <w:rFonts w:ascii="Arial" w:eastAsia="SimSun" w:hAnsi="Arial" w:cs="Arial"/>
          <w:color w:val="000000"/>
        </w:rPr>
        <w:t xml:space="preserve"> fully oxygenated hemoglobin solution</w:t>
      </w:r>
      <w:r w:rsidR="00D811F7">
        <w:rPr>
          <w:rFonts w:ascii="Arial" w:eastAsia="SimSun" w:hAnsi="Arial" w:cs="Arial"/>
          <w:color w:val="000000"/>
        </w:rPr>
        <w:t xml:space="preserve">, leading to </w:t>
      </w:r>
      <w:r w:rsidR="008216A0">
        <w:rPr>
          <w:rFonts w:ascii="Arial" w:eastAsia="SimSun" w:hAnsi="Arial" w:cs="Arial"/>
          <w:color w:val="000000"/>
        </w:rPr>
        <w:t xml:space="preserve">a </w:t>
      </w:r>
      <w:r w:rsidR="00F05B57">
        <w:rPr>
          <w:rFonts w:ascii="Arial" w:eastAsia="SimSun" w:hAnsi="Arial" w:cs="Arial"/>
          <w:color w:val="000000"/>
        </w:rPr>
        <w:t xml:space="preserve">transformation </w:t>
      </w:r>
      <w:r w:rsidR="00723AF9">
        <w:rPr>
          <w:rFonts w:ascii="Arial" w:eastAsia="SimSun" w:hAnsi="Arial" w:cs="Arial"/>
          <w:color w:val="000000"/>
        </w:rPr>
        <w:t xml:space="preserve">function that </w:t>
      </w:r>
      <w:r w:rsidR="00D811F7">
        <w:rPr>
          <w:rFonts w:ascii="Arial" w:eastAsia="SimSun" w:hAnsi="Arial" w:cs="Arial"/>
          <w:color w:val="000000"/>
        </w:rPr>
        <w:t xml:space="preserve">considers </w:t>
      </w:r>
      <w:r w:rsidR="00723AF9">
        <w:rPr>
          <w:rFonts w:ascii="Arial" w:eastAsia="SimSun" w:hAnsi="Arial" w:cs="Arial"/>
          <w:color w:val="000000"/>
        </w:rPr>
        <w:t xml:space="preserve">the impact of the scattering effect in human tissue. </w:t>
      </w:r>
    </w:p>
    <w:p w:rsidR="008216A0" w:rsidRDefault="00723AF9" w:rsidP="00723AF9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r>
        <w:rPr>
          <w:rFonts w:ascii="Arial" w:eastAsia="SimSun" w:hAnsi="Arial" w:cs="Arial"/>
          <w:color w:val="000000"/>
        </w:rPr>
        <w:t xml:space="preserve">In this work, </w:t>
      </w:r>
      <w:r w:rsidR="00B00012">
        <w:rPr>
          <w:rFonts w:ascii="Arial" w:eastAsia="SimSun" w:hAnsi="Arial" w:cs="Arial"/>
          <w:color w:val="000000"/>
        </w:rPr>
        <w:t>this</w:t>
      </w:r>
      <w:r w:rsidR="00463501">
        <w:rPr>
          <w:rFonts w:ascii="Arial" w:eastAsia="SimSun" w:hAnsi="Arial" w:cs="Arial"/>
          <w:color w:val="000000"/>
        </w:rPr>
        <w:t xml:space="preserve"> transformation function was </w:t>
      </w:r>
      <w:r w:rsidR="00463501" w:rsidRPr="004F1B4A">
        <w:rPr>
          <w:rFonts w:ascii="Arial" w:eastAsia="SimSun" w:hAnsi="Arial" w:cs="Arial"/>
          <w:color w:val="000000"/>
        </w:rPr>
        <w:t>modified</w:t>
      </w:r>
      <w:r w:rsidR="00ED3B8C">
        <w:rPr>
          <w:rFonts w:ascii="Arial" w:eastAsia="SimSun" w:hAnsi="Arial" w:cs="Arial"/>
          <w:color w:val="000000"/>
        </w:rPr>
        <w:t xml:space="preserve"> </w:t>
      </w:r>
      <w:r w:rsidR="008216A0">
        <w:rPr>
          <w:rFonts w:ascii="Arial" w:eastAsia="SimSun" w:hAnsi="Arial" w:cs="Arial"/>
          <w:color w:val="000000"/>
        </w:rPr>
        <w:t>by</w:t>
      </w:r>
      <w:r w:rsidR="00ED3B8C">
        <w:rPr>
          <w:rFonts w:ascii="Arial" w:eastAsia="SimSun" w:hAnsi="Arial" w:cs="Arial"/>
          <w:color w:val="000000"/>
        </w:rPr>
        <w:t xml:space="preserve"> </w:t>
      </w:r>
      <w:r w:rsidR="008216A0">
        <w:rPr>
          <w:rFonts w:ascii="Arial" w:eastAsia="SimSun" w:hAnsi="Arial" w:cs="Arial"/>
          <w:color w:val="000000"/>
        </w:rPr>
        <w:t>r</w:t>
      </w:r>
      <w:r w:rsidR="00950465">
        <w:rPr>
          <w:rFonts w:ascii="Arial" w:eastAsia="SimSun" w:hAnsi="Arial" w:cs="Arial"/>
          <w:color w:val="000000"/>
        </w:rPr>
        <w:t xml:space="preserve">evisiting </w:t>
      </w:r>
      <w:r w:rsidR="008216A0">
        <w:rPr>
          <w:rFonts w:ascii="Arial" w:eastAsia="SimSun" w:hAnsi="Arial" w:cs="Arial"/>
          <w:color w:val="000000"/>
        </w:rPr>
        <w:t>L</w:t>
      </w:r>
      <w:r w:rsidR="008216A0" w:rsidRPr="00545FE9">
        <w:rPr>
          <w:rFonts w:ascii="Arial" w:eastAsia="SimSun" w:hAnsi="Arial" w:cs="Arial"/>
          <w:color w:val="000000"/>
        </w:rPr>
        <w:t>ü</w:t>
      </w:r>
      <w:r w:rsidR="008216A0">
        <w:rPr>
          <w:rFonts w:ascii="Arial" w:eastAsia="SimSun" w:hAnsi="Arial" w:cs="Arial"/>
          <w:color w:val="000000"/>
        </w:rPr>
        <w:t xml:space="preserve">bbers’s approach. We similarly compared reflection spectra in reflection mode and using principal component analysis, established the main parameters involved in the scattering effect. This enabled us </w:t>
      </w:r>
      <w:r w:rsidR="00463501">
        <w:rPr>
          <w:rFonts w:ascii="Arial" w:eastAsia="SimSun" w:hAnsi="Arial" w:cs="Arial"/>
          <w:color w:val="000000"/>
        </w:rPr>
        <w:t xml:space="preserve">to </w:t>
      </w:r>
      <w:r w:rsidR="0015416C">
        <w:rPr>
          <w:rFonts w:ascii="Arial" w:eastAsia="SimSun" w:hAnsi="Arial" w:cs="Arial"/>
          <w:color w:val="000000"/>
        </w:rPr>
        <w:t xml:space="preserve">overcome the scattering effect and </w:t>
      </w:r>
      <w:r w:rsidR="00463501">
        <w:rPr>
          <w:rFonts w:ascii="Arial" w:eastAsia="SimSun" w:hAnsi="Arial" w:cs="Arial"/>
          <w:color w:val="000000"/>
        </w:rPr>
        <w:t>predict the tr</w:t>
      </w:r>
      <w:r w:rsidR="0015416C">
        <w:rPr>
          <w:rFonts w:ascii="Arial" w:eastAsia="SimSun" w:hAnsi="Arial" w:cs="Arial"/>
          <w:color w:val="000000"/>
        </w:rPr>
        <w:t>an</w:t>
      </w:r>
      <w:r w:rsidR="0078253B">
        <w:rPr>
          <w:rFonts w:ascii="Arial" w:eastAsia="SimSun" w:hAnsi="Arial" w:cs="Arial"/>
          <w:color w:val="000000"/>
        </w:rPr>
        <w:t>scutaneous oxygen saturation</w:t>
      </w:r>
      <w:r w:rsidR="00D811F7">
        <w:rPr>
          <w:rFonts w:ascii="Arial" w:eastAsia="SimSun" w:hAnsi="Arial" w:cs="Arial"/>
          <w:color w:val="000000"/>
        </w:rPr>
        <w:t xml:space="preserve"> in human tissue</w:t>
      </w:r>
      <w:r w:rsidR="0078253B">
        <w:rPr>
          <w:rFonts w:ascii="Arial" w:eastAsia="SimSun" w:hAnsi="Arial" w:cs="Arial"/>
          <w:color w:val="000000"/>
        </w:rPr>
        <w:t>.</w:t>
      </w:r>
    </w:p>
    <w:p w:rsidR="00536063" w:rsidRDefault="00D811F7" w:rsidP="00723AF9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r>
        <w:rPr>
          <w:rFonts w:ascii="Arial" w:eastAsia="SimSun" w:hAnsi="Arial" w:cs="Arial"/>
          <w:color w:val="000000"/>
        </w:rPr>
        <w:t>Our</w:t>
      </w:r>
      <w:r w:rsidR="00ED3B8C">
        <w:rPr>
          <w:rFonts w:ascii="Arial" w:eastAsia="SimSun" w:hAnsi="Arial" w:cs="Arial"/>
          <w:color w:val="000000"/>
        </w:rPr>
        <w:t xml:space="preserve"> </w:t>
      </w:r>
      <w:r w:rsidR="008216A0">
        <w:rPr>
          <w:rFonts w:ascii="Arial" w:eastAsia="SimSun" w:hAnsi="Arial" w:cs="Arial"/>
          <w:color w:val="000000"/>
        </w:rPr>
        <w:t xml:space="preserve">new </w:t>
      </w:r>
      <w:r w:rsidR="0078253B">
        <w:rPr>
          <w:rFonts w:ascii="Arial" w:eastAsia="SimSun" w:hAnsi="Arial" w:cs="Arial"/>
          <w:color w:val="000000"/>
        </w:rPr>
        <w:t xml:space="preserve">model uses a multi-wavelength </w:t>
      </w:r>
      <w:r>
        <w:rPr>
          <w:rFonts w:ascii="Arial" w:eastAsia="SimSun" w:hAnsi="Arial" w:cs="Arial"/>
          <w:color w:val="000000"/>
        </w:rPr>
        <w:t>approach</w:t>
      </w:r>
      <w:r w:rsidR="0078253B">
        <w:rPr>
          <w:rFonts w:ascii="Arial" w:eastAsia="SimSun" w:hAnsi="Arial" w:cs="Arial"/>
          <w:color w:val="000000"/>
        </w:rPr>
        <w:t xml:space="preserve"> (450nm to </w:t>
      </w:r>
      <w:r w:rsidR="002A02C8">
        <w:rPr>
          <w:rFonts w:ascii="Arial" w:eastAsia="SimSun" w:hAnsi="Arial" w:cs="Arial"/>
          <w:color w:val="000000"/>
        </w:rPr>
        <w:t>1000</w:t>
      </w:r>
      <w:r w:rsidR="0078253B">
        <w:rPr>
          <w:rFonts w:ascii="Arial" w:eastAsia="SimSun" w:hAnsi="Arial" w:cs="Arial"/>
          <w:color w:val="000000"/>
        </w:rPr>
        <w:t xml:space="preserve">nm). </w:t>
      </w:r>
      <w:r w:rsidR="004678AF">
        <w:rPr>
          <w:rFonts w:ascii="Arial" w:eastAsia="SimSun" w:hAnsi="Arial" w:cs="Arial"/>
          <w:color w:val="000000"/>
        </w:rPr>
        <w:t xml:space="preserve">A set of </w:t>
      </w:r>
      <w:r>
        <w:rPr>
          <w:rFonts w:ascii="Arial" w:eastAsia="SimSun" w:hAnsi="Arial" w:cs="Arial"/>
          <w:color w:val="000000"/>
        </w:rPr>
        <w:t>potential</w:t>
      </w:r>
      <w:r w:rsidR="004678AF">
        <w:rPr>
          <w:rFonts w:ascii="Arial" w:eastAsia="SimSun" w:hAnsi="Arial" w:cs="Arial"/>
          <w:color w:val="000000"/>
        </w:rPr>
        <w:t xml:space="preserve"> spectra signatures</w:t>
      </w:r>
      <w:r w:rsidR="00ED3B8C">
        <w:rPr>
          <w:rFonts w:ascii="Arial" w:eastAsia="SimSun" w:hAnsi="Arial" w:cs="Arial"/>
          <w:color w:val="000000"/>
        </w:rPr>
        <w:t xml:space="preserve"> </w:t>
      </w:r>
      <w:r w:rsidR="004678AF">
        <w:rPr>
          <w:rFonts w:ascii="Arial" w:eastAsia="SimSun" w:hAnsi="Arial" w:cs="Arial"/>
          <w:color w:val="000000"/>
        </w:rPr>
        <w:t>were created using Monte Carlo simulations</w:t>
      </w:r>
      <w:r w:rsidR="001C45B3">
        <w:rPr>
          <w:rFonts w:ascii="Arial" w:eastAsia="SimSun" w:hAnsi="Arial" w:cs="Arial"/>
          <w:color w:val="000000"/>
        </w:rPr>
        <w:t xml:space="preserve"> (7)</w:t>
      </w:r>
      <w:r>
        <w:rPr>
          <w:rFonts w:ascii="Arial" w:eastAsia="SimSun" w:hAnsi="Arial" w:cs="Arial"/>
          <w:color w:val="000000"/>
        </w:rPr>
        <w:t xml:space="preserve"> and compared </w:t>
      </w:r>
      <w:r w:rsidR="008216A0">
        <w:rPr>
          <w:rFonts w:ascii="Arial" w:eastAsia="SimSun" w:hAnsi="Arial" w:cs="Arial"/>
          <w:color w:val="000000"/>
        </w:rPr>
        <w:t xml:space="preserve">in the optimization process </w:t>
      </w:r>
      <w:r>
        <w:rPr>
          <w:rFonts w:ascii="Arial" w:eastAsia="SimSun" w:hAnsi="Arial" w:cs="Arial"/>
          <w:color w:val="000000"/>
        </w:rPr>
        <w:t>with signals from light</w:t>
      </w:r>
      <w:r w:rsidR="0078253B">
        <w:rPr>
          <w:rFonts w:ascii="Arial" w:eastAsia="SimSun" w:hAnsi="Arial" w:cs="Arial"/>
          <w:color w:val="000000"/>
        </w:rPr>
        <w:t xml:space="preserve"> backscatter</w:t>
      </w:r>
      <w:r>
        <w:rPr>
          <w:rFonts w:ascii="Arial" w:eastAsia="SimSun" w:hAnsi="Arial" w:cs="Arial"/>
          <w:color w:val="000000"/>
        </w:rPr>
        <w:t xml:space="preserve">ed </w:t>
      </w:r>
      <w:r w:rsidR="0078253B">
        <w:rPr>
          <w:rFonts w:ascii="Arial" w:eastAsia="SimSun" w:hAnsi="Arial" w:cs="Arial"/>
          <w:color w:val="000000"/>
        </w:rPr>
        <w:t xml:space="preserve">from </w:t>
      </w:r>
      <w:r w:rsidR="001C45B3">
        <w:rPr>
          <w:rFonts w:ascii="Arial" w:eastAsia="SimSun" w:hAnsi="Arial" w:cs="Arial"/>
          <w:color w:val="000000"/>
        </w:rPr>
        <w:t xml:space="preserve">tissue </w:t>
      </w:r>
      <w:r>
        <w:rPr>
          <w:rFonts w:ascii="Arial" w:eastAsia="SimSun" w:hAnsi="Arial" w:cs="Arial"/>
          <w:color w:val="000000"/>
        </w:rPr>
        <w:t>obtained experimentally</w:t>
      </w:r>
      <w:r w:rsidR="008216A0">
        <w:rPr>
          <w:rFonts w:ascii="Arial" w:eastAsia="SimSun" w:hAnsi="Arial" w:cs="Arial"/>
          <w:color w:val="000000"/>
        </w:rPr>
        <w:t>,</w:t>
      </w:r>
      <w:r w:rsidR="001C45B3">
        <w:rPr>
          <w:rFonts w:ascii="Arial" w:eastAsia="SimSun" w:hAnsi="Arial" w:cs="Arial"/>
          <w:color w:val="000000"/>
        </w:rPr>
        <w:t xml:space="preserve"> using a </w:t>
      </w:r>
      <w:r w:rsidR="008216A0">
        <w:rPr>
          <w:rFonts w:ascii="Arial" w:eastAsia="SimSun" w:hAnsi="Arial" w:cs="Arial"/>
          <w:color w:val="000000"/>
        </w:rPr>
        <w:t>fixed</w:t>
      </w:r>
      <w:r w:rsidR="00ED3B8C">
        <w:rPr>
          <w:rFonts w:ascii="Arial" w:eastAsia="SimSun" w:hAnsi="Arial" w:cs="Arial"/>
          <w:color w:val="000000"/>
        </w:rPr>
        <w:t xml:space="preserve"> </w:t>
      </w:r>
      <w:r w:rsidR="001C45B3">
        <w:rPr>
          <w:rFonts w:ascii="Arial" w:eastAsia="SimSun" w:hAnsi="Arial" w:cs="Arial"/>
          <w:color w:val="000000"/>
        </w:rPr>
        <w:t>source-detector separation distance</w:t>
      </w:r>
      <w:r w:rsidR="008216A0">
        <w:rPr>
          <w:rFonts w:ascii="Arial" w:eastAsia="SimSun" w:hAnsi="Arial" w:cs="Arial"/>
          <w:color w:val="000000"/>
        </w:rPr>
        <w:t>. The model obtained</w:t>
      </w:r>
      <w:r w:rsidR="00ED3B8C">
        <w:rPr>
          <w:rFonts w:ascii="Arial" w:eastAsia="SimSun" w:hAnsi="Arial" w:cs="Arial"/>
          <w:color w:val="000000"/>
        </w:rPr>
        <w:t xml:space="preserve"> </w:t>
      </w:r>
      <w:r w:rsidR="008216A0">
        <w:rPr>
          <w:rFonts w:ascii="Arial" w:eastAsia="SimSun" w:hAnsi="Arial" w:cs="Arial"/>
          <w:color w:val="000000"/>
        </w:rPr>
        <w:t>will be</w:t>
      </w:r>
      <w:bookmarkStart w:id="0" w:name="_GoBack"/>
      <w:bookmarkEnd w:id="0"/>
      <w:r w:rsidR="004678AF">
        <w:rPr>
          <w:rFonts w:ascii="Arial" w:eastAsia="SimSun" w:hAnsi="Arial" w:cs="Arial"/>
          <w:color w:val="000000"/>
        </w:rPr>
        <w:t xml:space="preserve"> used </w:t>
      </w:r>
      <w:r w:rsidR="007E52D0">
        <w:rPr>
          <w:rFonts w:ascii="Arial" w:eastAsia="SimSun" w:hAnsi="Arial" w:cs="Arial"/>
          <w:color w:val="000000"/>
        </w:rPr>
        <w:t>to create a t</w:t>
      </w:r>
      <w:r w:rsidR="00463501">
        <w:rPr>
          <w:rFonts w:ascii="Arial" w:eastAsia="SimSun" w:hAnsi="Arial" w:cs="Arial"/>
          <w:color w:val="000000"/>
        </w:rPr>
        <w:t xml:space="preserve">issue oximeter </w:t>
      </w:r>
      <w:r>
        <w:rPr>
          <w:rFonts w:ascii="Arial" w:eastAsia="SimSun" w:hAnsi="Arial" w:cs="Arial"/>
          <w:color w:val="000000"/>
        </w:rPr>
        <w:t>which uniquely does not require the calibration that often limits measurement of blood gases at the point-of-care.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id w:val="12967853"/>
        <w:docPartObj>
          <w:docPartGallery w:val="Bibliographies"/>
          <w:docPartUnique/>
        </w:docPartObj>
      </w:sdtPr>
      <w:sdtContent>
        <w:p w:rsidR="0015416C" w:rsidRPr="00D811F7" w:rsidRDefault="00487D0F">
          <w:pPr>
            <w:pStyle w:val="Ttulo1"/>
            <w:rPr>
              <w:rFonts w:ascii="Arial" w:hAnsi="Arial" w:cs="Arial"/>
              <w:sz w:val="22"/>
              <w:szCs w:val="22"/>
              <w:lang w:val="en-US"/>
            </w:rPr>
          </w:pPr>
          <w:r w:rsidRPr="00D811F7">
            <w:rPr>
              <w:rFonts w:ascii="Arial" w:hAnsi="Arial" w:cs="Arial"/>
              <w:sz w:val="22"/>
              <w:szCs w:val="22"/>
              <w:lang w:val="en-US"/>
            </w:rPr>
            <w:t>References</w:t>
          </w:r>
        </w:p>
        <w:sdt>
          <w:sdtPr>
            <w:rPr>
              <w:rFonts w:ascii="Arial" w:hAnsi="Arial" w:cs="Arial"/>
              <w:sz w:val="22"/>
              <w:szCs w:val="22"/>
              <w:lang w:val="es-ES"/>
            </w:rPr>
            <w:id w:val="111145805"/>
            <w:bibliography/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p w:rsidR="004415BD" w:rsidRPr="004415BD" w:rsidRDefault="00CD2554" w:rsidP="004415BD">
              <w:pPr>
                <w:pStyle w:val="Bibliografa"/>
                <w:numPr>
                  <w:ilvl w:val="0"/>
                  <w:numId w:val="4"/>
                </w:numPr>
                <w:spacing w:after="0" w:line="240" w:lineRule="auto"/>
                <w:ind w:left="284" w:hanging="284"/>
                <w:rPr>
                  <w:rFonts w:ascii="Arial" w:hAnsi="Arial" w:cs="Arial"/>
                  <w:noProof/>
                  <w:sz w:val="22"/>
                  <w:szCs w:val="22"/>
                </w:rPr>
              </w:pPr>
              <w:r w:rsidRPr="004415BD">
                <w:rPr>
                  <w:rFonts w:ascii="Arial" w:hAnsi="Arial" w:cs="Arial"/>
                  <w:sz w:val="22"/>
                  <w:szCs w:val="22"/>
                  <w:lang w:val="es-ES"/>
                </w:rPr>
                <w:fldChar w:fldCharType="begin"/>
              </w:r>
              <w:r w:rsidR="0015416C" w:rsidRPr="004415BD">
                <w:rPr>
                  <w:rFonts w:ascii="Arial" w:hAnsi="Arial" w:cs="Arial"/>
                  <w:sz w:val="22"/>
                  <w:szCs w:val="22"/>
                </w:rPr>
                <w:instrText xml:space="preserve"> BIBLIOGRAPHY </w:instrText>
              </w:r>
              <w:r w:rsidRPr="004415BD">
                <w:rPr>
                  <w:rFonts w:ascii="Arial" w:hAnsi="Arial" w:cs="Arial"/>
                  <w:sz w:val="22"/>
                  <w:szCs w:val="22"/>
                  <w:lang w:val="es-ES"/>
                </w:rPr>
                <w:fldChar w:fldCharType="separate"/>
              </w:r>
              <w:r w:rsidR="004415BD" w:rsidRPr="004415BD">
                <w:rPr>
                  <w:rFonts w:ascii="Arial" w:hAnsi="Arial" w:cs="Arial"/>
                  <w:noProof/>
                  <w:sz w:val="22"/>
                  <w:szCs w:val="22"/>
                </w:rPr>
                <w:t xml:space="preserve">Fodor, L., Elman, M., &amp; Ullmann, Y. (2010). </w:t>
              </w:r>
              <w:r w:rsidR="004415BD" w:rsidRPr="004415BD">
                <w:rPr>
                  <w:rFonts w:ascii="Arial" w:hAnsi="Arial" w:cs="Arial"/>
                  <w:i/>
                  <w:iCs/>
                  <w:noProof/>
                  <w:sz w:val="22"/>
                  <w:szCs w:val="22"/>
                </w:rPr>
                <w:t>Aesthetic Applications of Intense Pulsed Light.</w:t>
              </w:r>
              <w:r w:rsidR="004415BD" w:rsidRPr="004415BD">
                <w:rPr>
                  <w:rFonts w:ascii="Arial" w:hAnsi="Arial" w:cs="Arial"/>
                  <w:noProof/>
                  <w:sz w:val="22"/>
                  <w:szCs w:val="22"/>
                </w:rPr>
                <w:t xml:space="preserve"> Springer London.</w:t>
              </w:r>
            </w:p>
            <w:p w:rsidR="004415BD" w:rsidRPr="004415BD" w:rsidRDefault="004415BD" w:rsidP="004415BD">
              <w:pPr>
                <w:pStyle w:val="Bibliografa"/>
                <w:numPr>
                  <w:ilvl w:val="0"/>
                  <w:numId w:val="4"/>
                </w:numPr>
                <w:spacing w:after="0" w:line="240" w:lineRule="auto"/>
                <w:ind w:left="284" w:hanging="284"/>
                <w:rPr>
                  <w:rFonts w:ascii="Arial" w:hAnsi="Arial" w:cs="Arial"/>
                  <w:noProof/>
                  <w:sz w:val="22"/>
                  <w:szCs w:val="22"/>
                </w:rPr>
              </w:pPr>
              <w:r w:rsidRPr="004415BD">
                <w:rPr>
                  <w:rFonts w:ascii="Arial" w:hAnsi="Arial" w:cs="Arial"/>
                  <w:noProof/>
                  <w:sz w:val="22"/>
                  <w:szCs w:val="22"/>
                </w:rPr>
                <w:t xml:space="preserve">Grunewald, W. A., &amp; Lübbers, D. W. (1976). Kryomicrophotometry as a Method for Analyzing the Intracapillary HbO2 Saturation of Organs Under Different O2 Supply Conditions. In J. Grote, D. Reneau, &amp; G. Thews (Eds.), </w:t>
              </w:r>
              <w:r w:rsidRPr="004415BD">
                <w:rPr>
                  <w:rFonts w:ascii="Arial" w:hAnsi="Arial" w:cs="Arial"/>
                  <w:i/>
                  <w:iCs/>
                  <w:noProof/>
                  <w:sz w:val="22"/>
                  <w:szCs w:val="22"/>
                </w:rPr>
                <w:t>Oxygen Transport to Tissue --- II</w:t>
              </w:r>
              <w:r w:rsidRPr="004415BD">
                <w:rPr>
                  <w:rFonts w:ascii="Arial" w:hAnsi="Arial" w:cs="Arial"/>
                  <w:noProof/>
                  <w:sz w:val="22"/>
                  <w:szCs w:val="22"/>
                </w:rPr>
                <w:t xml:space="preserve"> (pp. 55-64). Boston, MA: Springer US.</w:t>
              </w:r>
            </w:p>
            <w:p w:rsidR="004415BD" w:rsidRPr="004415BD" w:rsidRDefault="004415BD" w:rsidP="004415BD">
              <w:pPr>
                <w:pStyle w:val="Bibliografa"/>
                <w:numPr>
                  <w:ilvl w:val="0"/>
                  <w:numId w:val="4"/>
                </w:numPr>
                <w:spacing w:after="0" w:line="240" w:lineRule="auto"/>
                <w:ind w:left="284" w:hanging="284"/>
                <w:rPr>
                  <w:rFonts w:ascii="Arial" w:hAnsi="Arial" w:cs="Arial"/>
                  <w:noProof/>
                  <w:sz w:val="22"/>
                  <w:szCs w:val="22"/>
                </w:rPr>
              </w:pPr>
              <w:r w:rsidRPr="004415BD">
                <w:rPr>
                  <w:rFonts w:ascii="Arial" w:hAnsi="Arial" w:cs="Arial"/>
                  <w:noProof/>
                  <w:sz w:val="22"/>
                  <w:szCs w:val="22"/>
                </w:rPr>
                <w:t xml:space="preserve">Holst, G. A., Köster, T., Voges, E., &amp; Lübbers, D. W. (1995). FLOX—an oxygen-flux-measuring system using a phase-modulation method to evaluate the oxygen-dependent fluorescence lifetime. </w:t>
              </w:r>
              <w:r w:rsidRPr="004415BD">
                <w:rPr>
                  <w:rFonts w:ascii="Arial" w:hAnsi="Arial" w:cs="Arial"/>
                  <w:i/>
                  <w:iCs/>
                  <w:noProof/>
                  <w:sz w:val="22"/>
                  <w:szCs w:val="22"/>
                </w:rPr>
                <w:t>Sensors and Actuators B: Chemical, 29</w:t>
              </w:r>
              <w:r w:rsidRPr="004415BD">
                <w:rPr>
                  <w:rFonts w:ascii="Arial" w:hAnsi="Arial" w:cs="Arial"/>
                  <w:noProof/>
                  <w:sz w:val="22"/>
                  <w:szCs w:val="22"/>
                </w:rPr>
                <w:t>, 231-239.</w:t>
              </w:r>
            </w:p>
            <w:p w:rsidR="004415BD" w:rsidRPr="004415BD" w:rsidRDefault="004415BD" w:rsidP="004415BD">
              <w:pPr>
                <w:pStyle w:val="Bibliografa"/>
                <w:numPr>
                  <w:ilvl w:val="0"/>
                  <w:numId w:val="4"/>
                </w:numPr>
                <w:spacing w:after="0" w:line="240" w:lineRule="auto"/>
                <w:ind w:left="284" w:hanging="284"/>
                <w:rPr>
                  <w:rFonts w:ascii="Arial" w:hAnsi="Arial" w:cs="Arial"/>
                  <w:noProof/>
                  <w:sz w:val="22"/>
                  <w:szCs w:val="22"/>
                </w:rPr>
              </w:pPr>
              <w:r w:rsidRPr="004415BD">
                <w:rPr>
                  <w:rFonts w:ascii="Arial" w:hAnsi="Arial" w:cs="Arial"/>
                  <w:noProof/>
                  <w:sz w:val="22"/>
                  <w:szCs w:val="22"/>
                </w:rPr>
                <w:t xml:space="preserve">Lübbers, D. W., &amp; Hoffmann, J. (1981). Absolute reflection photometry at organ surfaces. In A. G. Kovách, E. Monos, &amp; G. Rubányi (Eds.), </w:t>
              </w:r>
              <w:r w:rsidRPr="004415BD">
                <w:rPr>
                  <w:rFonts w:ascii="Arial" w:hAnsi="Arial" w:cs="Arial"/>
                  <w:i/>
                  <w:iCs/>
                  <w:noProof/>
                  <w:sz w:val="22"/>
                  <w:szCs w:val="22"/>
                </w:rPr>
                <w:t>Cardiovascular Physiology: Heart, Peripheral Circulation and Methodology</w:t>
              </w:r>
              <w:r w:rsidRPr="004415BD">
                <w:rPr>
                  <w:rFonts w:ascii="Arial" w:hAnsi="Arial" w:cs="Arial"/>
                  <w:noProof/>
                  <w:sz w:val="22"/>
                  <w:szCs w:val="22"/>
                </w:rPr>
                <w:t xml:space="preserve"> (pp. 353-361). Pergamon.</w:t>
              </w:r>
            </w:p>
            <w:p w:rsidR="004415BD" w:rsidRPr="004415BD" w:rsidRDefault="004415BD" w:rsidP="004415BD">
              <w:pPr>
                <w:pStyle w:val="Bibliografa"/>
                <w:numPr>
                  <w:ilvl w:val="0"/>
                  <w:numId w:val="4"/>
                </w:numPr>
                <w:spacing w:after="0" w:line="240" w:lineRule="auto"/>
                <w:ind w:left="284" w:hanging="284"/>
                <w:rPr>
                  <w:rFonts w:ascii="Arial" w:hAnsi="Arial" w:cs="Arial"/>
                  <w:noProof/>
                  <w:sz w:val="22"/>
                  <w:szCs w:val="22"/>
                </w:rPr>
              </w:pPr>
              <w:r w:rsidRPr="004415BD">
                <w:rPr>
                  <w:rFonts w:ascii="Arial" w:hAnsi="Arial" w:cs="Arial"/>
                  <w:noProof/>
                  <w:sz w:val="22"/>
                  <w:szCs w:val="22"/>
                </w:rPr>
                <w:t xml:space="preserve">Lübbers, D. W., &amp; Wodick, R. (1969). The Examination of Multicomponent Systems in Biological Materials by Means of a Rapid Scanning Photometer. </w:t>
              </w:r>
              <w:r w:rsidRPr="004415BD">
                <w:rPr>
                  <w:rFonts w:ascii="Arial" w:hAnsi="Arial" w:cs="Arial"/>
                  <w:i/>
                  <w:iCs/>
                  <w:noProof/>
                  <w:sz w:val="22"/>
                  <w:szCs w:val="22"/>
                </w:rPr>
                <w:t>Appl. Opt., 8</w:t>
              </w:r>
              <w:r w:rsidRPr="004415BD">
                <w:rPr>
                  <w:rFonts w:ascii="Arial" w:hAnsi="Arial" w:cs="Arial"/>
                  <w:noProof/>
                  <w:sz w:val="22"/>
                  <w:szCs w:val="22"/>
                </w:rPr>
                <w:t>, 1055-1062.</w:t>
              </w:r>
            </w:p>
            <w:p w:rsidR="004415BD" w:rsidRPr="004415BD" w:rsidRDefault="004415BD" w:rsidP="004415BD">
              <w:pPr>
                <w:pStyle w:val="Bibliografa"/>
                <w:numPr>
                  <w:ilvl w:val="0"/>
                  <w:numId w:val="4"/>
                </w:numPr>
                <w:spacing w:after="0" w:line="240" w:lineRule="auto"/>
                <w:ind w:left="284" w:hanging="284"/>
                <w:rPr>
                  <w:rFonts w:ascii="Arial" w:hAnsi="Arial" w:cs="Arial"/>
                  <w:noProof/>
                  <w:sz w:val="22"/>
                  <w:szCs w:val="22"/>
                </w:rPr>
              </w:pPr>
              <w:r w:rsidRPr="004415BD">
                <w:rPr>
                  <w:rFonts w:ascii="Arial" w:hAnsi="Arial" w:cs="Arial"/>
                  <w:noProof/>
                  <w:sz w:val="22"/>
                  <w:szCs w:val="22"/>
                </w:rPr>
                <w:t xml:space="preserve">Lübbers, D. W., Grisar, H., &amp; Gayeski, T. E. (1987). The Microphotometric Determination of the Variability of Oxygen Saturation of Erythrocytes Lying within Rouleaux. In I. A. Silver, &amp; A. Silver (Eds.), </w:t>
              </w:r>
              <w:r w:rsidRPr="004415BD">
                <w:rPr>
                  <w:rFonts w:ascii="Arial" w:hAnsi="Arial" w:cs="Arial"/>
                  <w:i/>
                  <w:iCs/>
                  <w:noProof/>
                  <w:sz w:val="22"/>
                  <w:szCs w:val="22"/>
                </w:rPr>
                <w:t>Oxygen Transport to Tissue IX</w:t>
              </w:r>
              <w:r w:rsidRPr="004415BD">
                <w:rPr>
                  <w:rFonts w:ascii="Arial" w:hAnsi="Arial" w:cs="Arial"/>
                  <w:noProof/>
                  <w:sz w:val="22"/>
                  <w:szCs w:val="22"/>
                </w:rPr>
                <w:t xml:space="preserve"> (pp. 35-43). Boston, MA: Springer US.</w:t>
              </w:r>
            </w:p>
            <w:p w:rsidR="004415BD" w:rsidRPr="004415BD" w:rsidRDefault="004415BD" w:rsidP="004415BD">
              <w:pPr>
                <w:pStyle w:val="Bibliografa"/>
                <w:numPr>
                  <w:ilvl w:val="0"/>
                  <w:numId w:val="4"/>
                </w:numPr>
                <w:spacing w:after="0" w:line="240" w:lineRule="auto"/>
                <w:ind w:left="284" w:hanging="284"/>
                <w:rPr>
                  <w:rFonts w:ascii="Arial" w:hAnsi="Arial" w:cs="Arial"/>
                  <w:noProof/>
                  <w:sz w:val="22"/>
                  <w:szCs w:val="22"/>
                </w:rPr>
              </w:pPr>
              <w:r w:rsidRPr="004415BD">
                <w:rPr>
                  <w:rFonts w:ascii="Arial" w:hAnsi="Arial" w:cs="Arial"/>
                  <w:noProof/>
                  <w:sz w:val="22"/>
                  <w:szCs w:val="22"/>
                </w:rPr>
                <w:t xml:space="preserve">Wang, L., Jacques, S. L., &amp; Zheng, L. (1995). MCML—Monte Carlo modeling of light transport in multi-layered tissues. </w:t>
              </w:r>
              <w:r w:rsidRPr="004415BD">
                <w:rPr>
                  <w:rFonts w:ascii="Arial" w:hAnsi="Arial" w:cs="Arial"/>
                  <w:i/>
                  <w:iCs/>
                  <w:noProof/>
                  <w:sz w:val="22"/>
                  <w:szCs w:val="22"/>
                </w:rPr>
                <w:t>Computer Methods and Programs in Biomedicine, 47</w:t>
              </w:r>
              <w:r w:rsidRPr="004415BD">
                <w:rPr>
                  <w:rFonts w:ascii="Arial" w:hAnsi="Arial" w:cs="Arial"/>
                  <w:noProof/>
                  <w:sz w:val="22"/>
                  <w:szCs w:val="22"/>
                </w:rPr>
                <w:t>, 131-146.</w:t>
              </w:r>
            </w:p>
            <w:p w:rsidR="00536063" w:rsidRPr="008216A0" w:rsidRDefault="00CD2554" w:rsidP="008216A0">
              <w:pPr>
                <w:spacing w:after="0" w:line="240" w:lineRule="auto"/>
                <w:ind w:left="284" w:hanging="284"/>
                <w:rPr>
                  <w:lang w:val="es-ES"/>
                </w:rPr>
              </w:pPr>
              <w:r w:rsidRPr="004415BD">
                <w:rPr>
                  <w:rFonts w:ascii="Arial" w:hAnsi="Arial" w:cs="Arial"/>
                  <w:sz w:val="22"/>
                  <w:szCs w:val="22"/>
                  <w:lang w:val="es-ES"/>
                </w:rPr>
                <w:fldChar w:fldCharType="end"/>
              </w:r>
            </w:p>
          </w:sdtContent>
        </w:sdt>
      </w:sdtContent>
    </w:sdt>
    <w:p w:rsidR="00D84360" w:rsidRDefault="00514F29" w:rsidP="004767E4">
      <w:pPr>
        <w:tabs>
          <w:tab w:val="left" w:pos="1418"/>
          <w:tab w:val="left" w:pos="4536"/>
        </w:tabs>
        <w:rPr>
          <w:sz w:val="22"/>
          <w:szCs w:val="22"/>
        </w:rPr>
      </w:pPr>
      <w:r>
        <w:rPr>
          <w:rFonts w:ascii="Arial" w:hAnsi="Arial" w:cs="Arial"/>
        </w:rPr>
        <w:lastRenderedPageBreak/>
        <w:t>I prefer:</w:t>
      </w:r>
      <w:r w:rsidR="00D84360">
        <w:rPr>
          <w:rFonts w:ascii="Arial" w:hAnsi="Arial" w:cs="Arial"/>
        </w:rPr>
        <w:tab/>
      </w:r>
      <w:r w:rsidR="00CD2554">
        <w:rPr>
          <w:rFonts w:ascii="Arial" w:hAnsi="Arial" w:cs="Arial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08pt;height:19.5pt" o:ole="">
            <v:imagedata r:id="rId9" o:title=""/>
          </v:shape>
          <w:control r:id="rId10" w:name="OptionButton1" w:shapeid="_x0000_i1034"/>
        </w:object>
      </w:r>
      <w:r w:rsidR="00D84360">
        <w:rPr>
          <w:rFonts w:ascii="Arial" w:hAnsi="Arial" w:cs="Arial"/>
        </w:rPr>
        <w:tab/>
      </w:r>
      <w:r w:rsidR="00CD2554">
        <w:rPr>
          <w:rFonts w:ascii="Arial" w:hAnsi="Arial" w:cs="Arial"/>
        </w:rPr>
        <w:object w:dxaOrig="1440" w:dyaOrig="1440">
          <v:shape id="_x0000_i1031" type="#_x0000_t75" style="width:148.5pt;height:19.5pt" o:ole="">
            <v:imagedata r:id="rId11" o:title=""/>
          </v:shape>
          <w:control r:id="rId12" w:name="OptionButton2" w:shapeid="_x0000_i1031"/>
        </w:object>
      </w:r>
    </w:p>
    <w:sectPr w:rsidR="00D84360" w:rsidSect="008727B8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8EE" w:rsidRDefault="004D18EE" w:rsidP="004D18EE">
      <w:pPr>
        <w:spacing w:after="0" w:line="240" w:lineRule="auto"/>
      </w:pPr>
      <w:r>
        <w:separator/>
      </w:r>
    </w:p>
  </w:endnote>
  <w:endnote w:type="continuationSeparator" w:id="1">
    <w:p w:rsidR="004D18EE" w:rsidRDefault="004D18EE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8EE" w:rsidRDefault="004D18EE" w:rsidP="004D18EE">
      <w:pPr>
        <w:spacing w:after="0" w:line="240" w:lineRule="auto"/>
      </w:pPr>
      <w:r>
        <w:separator/>
      </w:r>
    </w:p>
  </w:footnote>
  <w:footnote w:type="continuationSeparator" w:id="1">
    <w:p w:rsidR="004D18EE" w:rsidRDefault="004D18EE" w:rsidP="004D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F2CAE"/>
    <w:multiLevelType w:val="hybridMultilevel"/>
    <w:tmpl w:val="9FF88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>
    <w:nsid w:val="7D754BA0"/>
    <w:multiLevelType w:val="hybridMultilevel"/>
    <w:tmpl w:val="F2E28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6385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useFELayout/>
  </w:compat>
  <w:rsids>
    <w:rsidRoot w:val="00812CCA"/>
    <w:rsid w:val="000214CB"/>
    <w:rsid w:val="00042078"/>
    <w:rsid w:val="000B0BE9"/>
    <w:rsid w:val="000E778A"/>
    <w:rsid w:val="00103CE4"/>
    <w:rsid w:val="001248EF"/>
    <w:rsid w:val="0015416C"/>
    <w:rsid w:val="00156830"/>
    <w:rsid w:val="00182D5C"/>
    <w:rsid w:val="001C45B3"/>
    <w:rsid w:val="001E5599"/>
    <w:rsid w:val="0022452E"/>
    <w:rsid w:val="00226BCA"/>
    <w:rsid w:val="002366BC"/>
    <w:rsid w:val="0026095E"/>
    <w:rsid w:val="00263F27"/>
    <w:rsid w:val="002761FE"/>
    <w:rsid w:val="00282746"/>
    <w:rsid w:val="002A02C8"/>
    <w:rsid w:val="002B2B7A"/>
    <w:rsid w:val="002C3083"/>
    <w:rsid w:val="00304608"/>
    <w:rsid w:val="0032603A"/>
    <w:rsid w:val="00415117"/>
    <w:rsid w:val="00416874"/>
    <w:rsid w:val="004415BD"/>
    <w:rsid w:val="00463501"/>
    <w:rsid w:val="004678AF"/>
    <w:rsid w:val="004767E4"/>
    <w:rsid w:val="00487D0F"/>
    <w:rsid w:val="004A3E7B"/>
    <w:rsid w:val="004A6398"/>
    <w:rsid w:val="004D18EE"/>
    <w:rsid w:val="004E6648"/>
    <w:rsid w:val="004F1B4A"/>
    <w:rsid w:val="00514F29"/>
    <w:rsid w:val="00536063"/>
    <w:rsid w:val="00545FE9"/>
    <w:rsid w:val="00555A7D"/>
    <w:rsid w:val="00577052"/>
    <w:rsid w:val="006533FC"/>
    <w:rsid w:val="00653440"/>
    <w:rsid w:val="006673C6"/>
    <w:rsid w:val="00682B60"/>
    <w:rsid w:val="00685C5F"/>
    <w:rsid w:val="006E51B7"/>
    <w:rsid w:val="006F031C"/>
    <w:rsid w:val="007109F1"/>
    <w:rsid w:val="00723AF9"/>
    <w:rsid w:val="00750E77"/>
    <w:rsid w:val="0078253B"/>
    <w:rsid w:val="00793262"/>
    <w:rsid w:val="007E52D0"/>
    <w:rsid w:val="00812CCA"/>
    <w:rsid w:val="008216A0"/>
    <w:rsid w:val="00856AA7"/>
    <w:rsid w:val="008727B8"/>
    <w:rsid w:val="008C0A91"/>
    <w:rsid w:val="008D0975"/>
    <w:rsid w:val="008F1F76"/>
    <w:rsid w:val="0093416D"/>
    <w:rsid w:val="009359AE"/>
    <w:rsid w:val="009465E3"/>
    <w:rsid w:val="00950465"/>
    <w:rsid w:val="009748F1"/>
    <w:rsid w:val="00A23B9C"/>
    <w:rsid w:val="00A4225A"/>
    <w:rsid w:val="00A478D2"/>
    <w:rsid w:val="00A50945"/>
    <w:rsid w:val="00A60E4A"/>
    <w:rsid w:val="00A86019"/>
    <w:rsid w:val="00AE00E0"/>
    <w:rsid w:val="00B00012"/>
    <w:rsid w:val="00B77F3F"/>
    <w:rsid w:val="00B920D5"/>
    <w:rsid w:val="00C003E5"/>
    <w:rsid w:val="00C4265A"/>
    <w:rsid w:val="00C43FF3"/>
    <w:rsid w:val="00CB4A1A"/>
    <w:rsid w:val="00CB5844"/>
    <w:rsid w:val="00CB76EF"/>
    <w:rsid w:val="00CD1866"/>
    <w:rsid w:val="00CD2554"/>
    <w:rsid w:val="00CE7A65"/>
    <w:rsid w:val="00D21D14"/>
    <w:rsid w:val="00D301FC"/>
    <w:rsid w:val="00D72A09"/>
    <w:rsid w:val="00D811F7"/>
    <w:rsid w:val="00D84360"/>
    <w:rsid w:val="00DA1FFD"/>
    <w:rsid w:val="00E031BA"/>
    <w:rsid w:val="00E134FA"/>
    <w:rsid w:val="00E2366C"/>
    <w:rsid w:val="00E426F4"/>
    <w:rsid w:val="00E946D5"/>
    <w:rsid w:val="00ED3B8C"/>
    <w:rsid w:val="00EE793D"/>
    <w:rsid w:val="00F05B57"/>
    <w:rsid w:val="00F16DE0"/>
    <w:rsid w:val="00F4637E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7B8"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1541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872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ipervnculo">
    <w:name w:val="Hyperlink"/>
    <w:rsid w:val="008727B8"/>
    <w:rPr>
      <w:color w:val="0000FF"/>
      <w:u w:val="single"/>
    </w:rPr>
  </w:style>
  <w:style w:type="character" w:customStyle="1" w:styleId="TextodegloboCar">
    <w:name w:val="Texto de globo Car"/>
    <w:link w:val="Textodeglobo"/>
    <w:rsid w:val="008727B8"/>
    <w:rPr>
      <w:rFonts w:ascii="Tahoma" w:eastAsia="Times New Roman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8C0A91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EncabezadoCar">
    <w:name w:val="Encabezado Car"/>
    <w:basedOn w:val="Fuentedeprrafopredeter"/>
    <w:link w:val="Encabezado"/>
    <w:rsid w:val="004D18EE"/>
    <w:rPr>
      <w:rFonts w:eastAsia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PiedepginaCar">
    <w:name w:val="Pie de página Car"/>
    <w:basedOn w:val="Fuentedeprrafopredeter"/>
    <w:link w:val="Piedepgina"/>
    <w:rsid w:val="004D18EE"/>
    <w:rPr>
      <w:rFonts w:eastAsia="Times New Roman"/>
      <w:sz w:val="24"/>
      <w:szCs w:val="24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1541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n-US"/>
    </w:rPr>
  </w:style>
  <w:style w:type="paragraph" w:styleId="Bibliografa">
    <w:name w:val="Bibliography"/>
    <w:basedOn w:val="Normal"/>
    <w:next w:val="Normal"/>
    <w:uiPriority w:val="37"/>
    <w:unhideWhenUsed/>
    <w:rsid w:val="001541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0" Type="http://schemas.openxmlformats.org/officeDocument/2006/relationships/control" Target="activeX/activeX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99"/>
  <ax:ocxPr ax:name="Value" ax:value="1"/>
  <ax:ocxPr ax:name="Caption" ax:value="oral presentation"/>
  <ax:ocxPr ax:name="FontName" ax:value="Arial"/>
  <ax:ocxPr ax:name="FontHeight" ax:value="240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249;699"/>
  <ax:ocxPr ax:name="Value" ax:value="0"/>
  <ax:ocxPr ax:name="Caption" ax:value="poster presentation"/>
  <ax:ocxPr ax:name="FontName" ax:value="Arial"/>
  <ax:ocxPr ax:name="FontHeight" ax:value="240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Year>1981</b:Year>
    <b:BIBTEX_Entry>incollection</b:BIBTEX_Entry>
    <b:SourceType>BookSection</b:SourceType>
    <b:Title>Absolute reflection photometry at organ surfaces</b:Title>
    <b:Tag>Luebbers1981</b:Tag>
    <b:Publisher>Pergamon</b:Publisher>
    <b:BookTitle>Cardiovascular Physiology: Heart, Peripheral Circulation and Methodology</b:BookTitle>
    <b:URL>https://www.sciencedirect.com/science/article/pii/B9780080268200500457</b:URL>
    <b:DOI>https://doi.org/10.1016/B978-0-08-026820-0.50045-7</b:DOI>
    <b:Author>
      <b:Author>
        <b:NameList>
          <b:Person>
            <b:Last>Lübbers</b:Last>
            <b:Middle>W.</b:Middle>
            <b:First>D.</b:First>
          </b:Person>
          <b:Person>
            <b:Last>Hoffmann</b:Last>
            <b:First>J.</b:First>
          </b:Person>
        </b:NameList>
      </b:Author>
      <b:Editor>
        <b:NameList>
          <b:Person>
            <b:Last>Kovách</b:Last>
            <b:Middle>G. B.</b:Middle>
            <b:First>A.</b:First>
          </b:Person>
          <b:Person>
            <b:Last>Monos</b:Last>
            <b:First>E.</b:First>
          </b:Person>
          <b:Person>
            <b:Last>Rubányi</b:Last>
            <b:First>G.</b:First>
          </b:Person>
        </b:NameList>
      </b:Editor>
    </b:Author>
    <b:Pages>353-361</b:Pages>
    <b:StandardNumber> ISBN: 978-0-08-026820-0</b:StandardNumber>
    <b:ConferenceName>Cardiovascular Physiology: Heart, Peripheral Circulation and Methodology</b:ConferenceName>
    <b:RefOrder>1</b:RefOrder>
  </b:Source>
  <b:Source>
    <b:Year>1995</b:Year>
    <b:Volume>29</b:Volume>
    <b:BIBTEX_Entry>article</b:BIBTEX_Entry>
    <b:Comments>Proceedings of the 2nd European Conference on Optical Chemical Sensors and Biosensors</b:Comments>
    <b:SourceType>JournalArticle</b:SourceType>
    <b:Title>FLOX—an oxygen-flux-measuring system using a phase-modulation method to evaluate the oxygen-dependent fluorescence lifetime</b:Title>
    <b:Tag>Holst1995</b:Tag>
    <b:BIBTEX_KeyWords>Oxygen sensors, Phase modulation, Dynamic quenching, Microcirculation, Envelope detector, Flux measurement</b:BIBTEX_KeyWords>
    <b:URL>http://www.sciencedirect.com/science/article/pii/0925400595016880</b:URL>
    <b:DOI>https://doi.org/10.1016/0925-4005(95)01688-0</b:DOI>
    <b:Author>
      <b:Author>
        <b:NameList>
          <b:Person>
            <b:Last>Holst</b:Last>
            <b:Middle>A.</b:Middle>
            <b:First>Gerhard</b:First>
          </b:Person>
          <b:Person>
            <b:Last>Köster</b:Last>
            <b:First>Thomas</b:First>
          </b:Person>
          <b:Person>
            <b:Last>Voges</b:Last>
            <b:First>Edgar</b:First>
          </b:Person>
          <b:Person>
            <b:Last>Lübbers</b:Last>
            <b:Middle>W.</b:Middle>
            <b:First>Dietrich</b:First>
          </b:Person>
        </b:NameList>
      </b:Author>
    </b:Author>
    <b:Pages>231-239</b:Pages>
    <b:JournalName>Sensors and Actuators B: Chemical</b:JournalName>
    <b:Number>1</b:Number>
    <b:StandardNumber> ISSN: 0925-4005</b:StandardNumber>
    <b:RefOrder>2</b:RefOrder>
  </b:Source>
  <b:Source>
    <b:Year>2010</b:Year>
    <b:BIBTEX_Entry>book</b:BIBTEX_Entry>
    <b:SourceType>Book</b:SourceType>
    <b:Title>Aesthetic Applications of Intense Pulsed Light</b:Title>
    <b:Tag>Fodor2010</b:Tag>
    <b:Publisher>Springer London</b:Publisher>
    <b:URL>https://books.google.co.uk/books?id=AgelDbucQIkC</b:URL>
    <b:Author>
      <b:Author>
        <b:NameList>
          <b:Person>
            <b:Last>Fodor</b:Last>
            <b:First>L.</b:First>
          </b:Person>
          <b:Person>
            <b:Last>Elman</b:Last>
            <b:First>M.</b:First>
          </b:Person>
          <b:Person>
            <b:Last>Ullmann</b:Last>
            <b:First>Y.</b:First>
          </b:Person>
        </b:NameList>
      </b:Author>
    </b:Author>
    <b:StandardNumber> ISBN: 9781849964562LCCN: 2010937624</b:StandardNumber>
    <b:RefOrder>3</b:RefOrder>
  </b:Source>
  <b:Source>
    <b:Year>1976</b:Year>
    <b:BIBTEX_Entry>inbook</b:BIBTEX_Entry>
    <b:SourceType>BookSection</b:SourceType>
    <b:Title>Kryomicrophotometry as a Method for Analyzing the Intracapillary HbO2 Saturation of Organs Under Different O2 Supply Conditions</b:Title>
    <b:Tag>Grunewald1976</b:Tag>
    <b:Publisher>Springer US</b:Publisher>
    <b:BookTitle>Oxygen Transport to Tissue --- II</b:BookTitle>
    <b:URL>https://doi.org/10.1007/978-1-4684-3273-2_8</b:URL>
    <b:DOI>10.1007/978-1-4684-3273-2_8</b:DOI>
    <b:Author>
      <b:Author>
        <b:NameList>
          <b:Person>
            <b:Last>Grunewald</b:Last>
            <b:First>W.</b:First>
            <b:Middle>A.</b:Middle>
          </b:Person>
          <b:Person>
            <b:Last>Lübbers</b:Last>
            <b:First>D.</b:First>
            <b:Middle>W.</b:Middle>
          </b:Person>
        </b:NameList>
      </b:Author>
      <b:Editor>
        <b:NameList>
          <b:Person>
            <b:Last>Grote</b:Last>
            <b:First>J{\"u}rgen</b:First>
          </b:Person>
          <b:Person>
            <b:Last>Reneau</b:Last>
            <b:First>Daniel</b:First>
          </b:Person>
          <b:Person>
            <b:Last>Thews</b:Last>
            <b:First>Gerhard</b:First>
          </b:Person>
        </b:NameList>
      </b:Editor>
    </b:Author>
    <b:Pages>55-64</b:Pages>
    <b:StandardNumber> ISBN: 978-1-4684-3273-2</b:StandardNumber>
    <b:ConferenceName>Oxygen Transport to Tissue --- II</b:ConferenceName>
    <b:City>Boston</b:City>
    <b:StateProvince>MA</b:StateProvince>
    <b:Guid>{D1E840B9-DBED-495D-8F20-4BA585CF694D}</b:Guid>
    <b:RefOrder>4</b:RefOrder>
  </b:Source>
  <b:Source>
    <b:Year>1969</b:Year>
    <b:Volume>8</b:Volume>
    <b:BIBTEX_Entry>article</b:BIBTEX_Entry>
    <b:SourceType>JournalArticle</b:SourceType>
    <b:Title>The Examination of Multicomponent Systems in Biological Materials by Means of a Rapid Scanning Photometer</b:Title>
    <b:Tag>Luebbers1969</b:Tag>
    <b:Publisher>OSA</b:Publisher>
    <b:URL>http://ao.osa.org/abstract.cfm?URI=ao-8-5-1055</b:URL>
    <b:DOI>10.1364/AO.8.001055</b:DOI>
    <b:Author>
      <b:Author>
        <b:NameList>
          <b:Person>
            <b:Last>Lübbers</b:Last>
            <b:First>Dietrich</b:First>
            <b:Middle>W.</b:Middle>
          </b:Person>
          <b:Person>
            <b:Last>Wodick</b:Last>
            <b:First>Reinhard</b:First>
          </b:Person>
        </b:NameList>
      </b:Author>
    </b:Author>
    <b:Pages>1055-1062</b:Pages>
    <b:Month>5</b:Month>
    <b:JournalName>Appl. Opt.</b:JournalName>
    <b:Number>5</b:Number>
    <b:Guid>{03D0AB19-E60C-4319-80AE-060308E0C42F}</b:Guid>
    <b:RefOrder>5</b:RefOrder>
  </b:Source>
  <b:Source>
    <b:Year>1987</b:Year>
    <b:BIBTEX_Entry>inbook</b:BIBTEX_Entry>
    <b:SourceType>BookSection</b:SourceType>
    <b:Title>The Microphotometric Determination of the Variability of Oxygen Saturation of Erythrocytes Lying within Rouleaux</b:Title>
    <b:Tag>Lubbers1987</b:Tag>
    <b:Publisher>Springer US</b:Publisher>
    <b:BookTitle>Oxygen Transport to Tissue IX</b:BookTitle>
    <b:URL>https://doi.org/10.1007/978-1-4684-7433-6_5</b:URL>
    <b:DOI>10.1007/978-1-4684-7433-6_5</b:DOI>
    <b:Author>
      <b:Author>
        <b:NameList>
          <b:Person>
            <b:Last>Lübbers</b:Last>
            <b:First>D.</b:First>
            <b:Middle>W.</b:Middle>
          </b:Person>
          <b:Person>
            <b:Last>Grisar</b:Last>
            <b:First>H.</b:First>
          </b:Person>
          <b:Person>
            <b:Last>Gayeski</b:Last>
            <b:First>T.</b:First>
            <b:Middle>E. J.</b:Middle>
          </b:Person>
        </b:NameList>
      </b:Author>
      <b:Editor>
        <b:NameList>
          <b:Person>
            <b:Last>Silver</b:Last>
            <b:Middle>A.</b:Middle>
            <b:First>I.</b:First>
          </b:Person>
          <b:Person>
            <b:Last>Silver</b:Last>
            <b:First>A.</b:First>
          </b:Person>
        </b:NameList>
      </b:Editor>
    </b:Author>
    <b:Pages>35-43</b:Pages>
    <b:StandardNumber> ISBN: 978-1-4684-7433-6</b:StandardNumber>
    <b:ConferenceName>Oxygen Transport to Tissue IX</b:ConferenceName>
    <b:City>Boston</b:City>
    <b:StateProvince>MA</b:StateProvince>
    <b:Guid>{79AB0CB3-7F3F-4DA2-B03A-64FA3E6D0813}</b:Guid>
    <b:RefOrder>6</b:RefOrder>
  </b:Source>
  <b:Source>
    <b:Year>1995</b:Year>
    <b:Volume>47</b:Volume>
    <b:BIBTEX_Entry>article</b:BIBTEX_Entry>
    <b:SourceType>JournalArticle</b:SourceType>
    <b:Title>MCML—Monte Carlo modeling of light transport in multi-layered tissues</b:Title>
    <b:Tag>WANG1995131</b:Tag>
    <b:BIBTEX_KeyWords>Monte Carlo, Photon transport, Tissue optics, Standard C, Dynamic allocation</b:BIBTEX_KeyWords>
    <b:URL>http://www.sciencedirect.com/science/article/pii/016926079501640F</b:URL>
    <b:DOI>https://doi.org/10.1016/0169-2607(95)01640-F</b:DOI>
    <b:Author>
      <b:Author>
        <b:NameList>
          <b:Person>
            <b:Last>Wang</b:Last>
            <b:First>Lihong</b:First>
          </b:Person>
          <b:Person>
            <b:Last>Jacques</b:Last>
            <b:Middle>L.</b:Middle>
            <b:First>Steven</b:First>
          </b:Person>
          <b:Person>
            <b:Last>Zheng</b:Last>
            <b:First>Liqiong</b:First>
          </b:Person>
        </b:NameList>
      </b:Author>
    </b:Author>
    <b:Pages>131-146</b:Pages>
    <b:JournalName>Computer Methods and Programs in Biomedicine</b:JournalName>
    <b:Number>2</b:Number>
    <b:StandardNumber> ISSN: 0169-2607</b:StandardNumber>
    <b:RefOrder>7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98D1BC-D2AC-4843-98EF-EF781C2C2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622</Words>
  <Characters>3220</Characters>
  <Application>Microsoft Office Word</Application>
  <DocSecurity>0</DocSecurity>
  <Lines>460</Lines>
  <Paragraphs>57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ITÖ/ETHZ</Company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Stephanie</dc:creator>
  <cp:lastModifiedBy>Victor</cp:lastModifiedBy>
  <cp:revision>4</cp:revision>
  <cp:lastPrinted>2012-03-06T08:56:00Z</cp:lastPrinted>
  <dcterms:created xsi:type="dcterms:W3CDTF">2018-04-15T21:10:00Z</dcterms:created>
  <dcterms:modified xsi:type="dcterms:W3CDTF">2018-04-15T21:14:00Z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