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630EA" w14:textId="77777777" w:rsidR="0087774B" w:rsidRDefault="0087774B" w:rsidP="0087774B">
      <w:pPr>
        <w:pStyle w:val="NormalWeb"/>
      </w:pPr>
      <w:r>
        <w:rPr>
          <w:rStyle w:val="Strong"/>
        </w:rPr>
        <w:t>Sử dụng Canva AI một cách minh bạch và đạo đức</w:t>
      </w:r>
    </w:p>
    <w:p w14:paraId="42BF4DBC" w14:textId="77777777" w:rsidR="0087774B" w:rsidRDefault="0087774B" w:rsidP="0087774B">
      <w:pPr>
        <w:pStyle w:val="NormalWeb"/>
      </w:pPr>
      <w:r>
        <w:t>Việc sử dụng Canva AI trong nhiệm vụ 3.1 cần tuân thủ các nguyên tắc đạo đức số theo DigComp 2.2. Trước hết, người dùng cần minh bạch về việc có sử dụng công cụ AI trong quá trình tạo nội dung, cụ thể là ghi rõ infographic được tạo với sự hỗ trợ của Canva AI. Thứ hai, nội dung do AI tạo ra cần được kiểm tra lại để tránh lan truyền thông tin sai lệch hoặc gây hiểu nhầm cho người học. Ngoài ra, cần tôn trọng bản quyền bằng cách chỉ sử dụng hình ảnh, biểu tượng từ nguồn miễn phí hoặc được cấp phép rõ ràng trong Canva. Cuối cùng, người dùng không nên sao chép hoặc sử dụng nội dung AI cho mục đích gian lận học tập. Việc sử dụng AI có trách nhiệm giúp nâng cao hiệu quả học tập và đảm bảo giá trị đạo đức trong môi trường số.</w:t>
      </w:r>
    </w:p>
    <w:p w14:paraId="3DBC2B61" w14:textId="77777777" w:rsidR="000743D9" w:rsidRDefault="000743D9"/>
    <w:sectPr w:rsidR="00074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74B"/>
    <w:rsid w:val="000743D9"/>
    <w:rsid w:val="0087774B"/>
    <w:rsid w:val="009509D9"/>
    <w:rsid w:val="00C8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7D6D"/>
  <w15:chartTrackingRefBased/>
  <w15:docId w15:val="{1F2E82A9-1F1F-4FBB-BBA3-7F97FF80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7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7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3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Nguyenthi Hong</dc:creator>
  <cp:keywords/>
  <dc:description/>
  <cp:lastModifiedBy>ngoc Nguyenthi Hong</cp:lastModifiedBy>
  <cp:revision>1</cp:revision>
  <dcterms:created xsi:type="dcterms:W3CDTF">2026-01-26T18:55:00Z</dcterms:created>
  <dcterms:modified xsi:type="dcterms:W3CDTF">2026-01-26T18:56:00Z</dcterms:modified>
</cp:coreProperties>
</file>