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56"/>
          <w:szCs w:val="56"/>
        </w:rPr>
      </w:pPr>
      <w:bookmarkStart w:colFirst="0" w:colLast="0" w:name="_vnca9ysgpumw" w:id="0"/>
      <w:bookmarkEnd w:id="0"/>
      <w:r w:rsidDel="00000000" w:rsidR="00000000" w:rsidRPr="00000000">
        <w:rPr>
          <w:b w:val="1"/>
          <w:sz w:val="56"/>
          <w:szCs w:val="56"/>
        </w:rPr>
        <w:drawing>
          <wp:inline distB="114300" distT="114300" distL="114300" distR="114300">
            <wp:extent cx="5943600" cy="3124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480" w:lineRule="auto"/>
        <w:jc w:val="center"/>
        <w:rPr>
          <w:u w:val="single"/>
        </w:rPr>
      </w:pPr>
      <w:bookmarkStart w:colFirst="0" w:colLast="0" w:name="_1u4ywmc4zzis" w:id="1"/>
      <w:bookmarkEnd w:id="1"/>
      <w:r w:rsidDel="00000000" w:rsidR="00000000" w:rsidRPr="00000000">
        <w:rPr>
          <w:u w:val="single"/>
          <w:rtl w:val="0"/>
        </w:rPr>
        <w:t xml:space="preserve">Homework: Next Date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="276" w:lineRule="auto"/>
        <w:jc w:val="center"/>
        <w:rPr>
          <w:b w:val="1"/>
          <w:sz w:val="56"/>
          <w:szCs w:val="56"/>
        </w:rPr>
      </w:pPr>
      <w:bookmarkStart w:colFirst="0" w:colLast="0" w:name="_o3ltjowb86xq" w:id="2"/>
      <w:bookmarkEnd w:id="2"/>
      <w:r w:rsidDel="00000000" w:rsidR="00000000" w:rsidRPr="00000000">
        <w:rPr>
          <w:b w:val="1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 12 Members: 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Brandon Ho - 100754357</w:t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Rupam Mittal - 100640634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Course:</w:t>
      </w:r>
      <w:r w:rsidDel="00000000" w:rsidR="00000000" w:rsidRPr="00000000">
        <w:rPr>
          <w:sz w:val="36"/>
          <w:szCs w:val="36"/>
          <w:rtl w:val="0"/>
        </w:rPr>
        <w:t xml:space="preserve"> SOFE3980U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</w:t>
      </w:r>
      <w:r w:rsidDel="00000000" w:rsidR="00000000" w:rsidRPr="00000000">
        <w:rPr>
          <w:sz w:val="36"/>
          <w:szCs w:val="36"/>
          <w:rtl w:val="0"/>
        </w:rPr>
        <w:t xml:space="preserve"> 2024/02/27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Professor:</w:t>
      </w:r>
      <w:r w:rsidDel="00000000" w:rsidR="00000000" w:rsidRPr="00000000">
        <w:rPr>
          <w:sz w:val="36"/>
          <w:szCs w:val="36"/>
          <w:rtl w:val="0"/>
        </w:rPr>
        <w:t xml:space="preserve"> Mohamed El-Darieby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lqo1yjnqvxoq" w:id="3"/>
      <w:bookmarkEnd w:id="3"/>
      <w:r w:rsidDel="00000000" w:rsidR="00000000" w:rsidRPr="00000000">
        <w:rPr>
          <w:rtl w:val="0"/>
        </w:rPr>
        <w:t xml:space="preserve">1. follow our algorithm to design test cases and group them in a test case table (chapter 6 of the book).  Highlight characteristics, domains, blocks, values. Use the pairwise coverage criteria.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2745"/>
        <w:gridCol w:w="4305"/>
        <w:gridCol w:w="2145"/>
        <w:tblGridChange w:id="0">
          <w:tblGrid>
            <w:gridCol w:w="1020"/>
            <w:gridCol w:w="2745"/>
            <w:gridCol w:w="4305"/>
            <w:gridCol w:w="214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383d3f" w:space="0" w:sz="6" w:val="single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d3f" w:space="0" w:sz="6" w:val="single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Description</w:t>
            </w:r>
          </w:p>
        </w:tc>
        <w:tc>
          <w:tcPr>
            <w:tcBorders>
              <w:top w:color="383d3f" w:space="0" w:sz="6" w:val="single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Valid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d3f" w:space="0" w:sz="6" w:val="single"/>
              <w:left w:color="383d3f" w:space="0" w:sz="6" w:val="single"/>
              <w:bottom w:color="383d3f" w:space="0" w:sz="6" w:val="single"/>
              <w:right w:color="383d3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Invalid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Days in a week</w:t>
            </w:r>
          </w:p>
        </w:tc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February: </w:t>
            </w:r>
            <w:r w:rsidDel="00000000" w:rsidR="00000000" w:rsidRPr="00000000">
              <w:rPr>
                <w:rtl w:val="0"/>
              </w:rPr>
              <w:t xml:space="preserve">1 - 28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February Leap Year:</w:t>
            </w:r>
            <w:r w:rsidDel="00000000" w:rsidR="00000000" w:rsidRPr="00000000">
              <w:rPr>
                <w:rtl w:val="0"/>
              </w:rPr>
              <w:t xml:space="preserve"> 1 - 29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April, June, Sept, Nov: </w:t>
            </w:r>
            <w:r w:rsidDel="00000000" w:rsidR="00000000" w:rsidRPr="00000000">
              <w:rPr>
                <w:rtl w:val="0"/>
              </w:rPr>
              <w:t xml:space="preserve">1 - 30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 other months: </w:t>
            </w:r>
            <w:r w:rsidDel="00000000" w:rsidR="00000000" w:rsidRPr="00000000">
              <w:rPr>
                <w:rtl w:val="0"/>
              </w:rPr>
              <w:t xml:space="preserve">1 - 31</w:t>
            </w:r>
          </w:p>
        </w:tc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383d3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negative values, &gt;31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Months in a year</w:t>
            </w:r>
          </w:p>
        </w:tc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1 - 12</w:t>
            </w:r>
          </w:p>
        </w:tc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383d3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negative values, &gt;12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Years between 1812 and 2212</w:t>
            </w:r>
          </w:p>
        </w:tc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1812 - 2212</w:t>
            </w:r>
          </w:p>
        </w:tc>
        <w:tc>
          <w:tcPr>
            <w:tcBorders>
              <w:top w:color="000000" w:space="0" w:sz="0" w:val="nil"/>
              <w:left w:color="383d3f" w:space="0" w:sz="6" w:val="single"/>
              <w:bottom w:color="383d3f" w:space="0" w:sz="6" w:val="single"/>
              <w:right w:color="383d3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&lt;1812, &gt;2212, negative values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domain for days has several conditions involving leap years and set amounts of days in certain months. The number of months in a year are static and independent. The domain for years is given as 1812 - 2212.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rr6vugdtxhl1" w:id="4"/>
      <w:bookmarkEnd w:id="4"/>
      <w:r w:rsidDel="00000000" w:rsidR="00000000" w:rsidRPr="00000000">
        <w:rPr>
          <w:rtl w:val="0"/>
        </w:rPr>
        <w:t xml:space="preserve">2. write a Junit test script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00688" cy="712268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712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14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1"/>
        <w:rPr/>
      </w:pPr>
      <w:bookmarkStart w:colFirst="0" w:colLast="0" w:name="_xh9dq4mb7w17" w:id="5"/>
      <w:bookmarkEnd w:id="5"/>
      <w:r w:rsidDel="00000000" w:rsidR="00000000" w:rsidRPr="00000000">
        <w:rPr>
          <w:rtl w:val="0"/>
        </w:rPr>
        <w:t xml:space="preserve">3. write the corresponding java code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56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s6ne8nk33f24" w:id="6"/>
      <w:bookmarkEnd w:id="6"/>
      <w:r w:rsidDel="00000000" w:rsidR="00000000" w:rsidRPr="00000000">
        <w:rPr>
          <w:rtl w:val="0"/>
        </w:rPr>
        <w:t xml:space="preserve">4-5. Run the tests and debug if need be. Repeat until the quality of the code is assured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191b1c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