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Times New Roman" w:hAnsi="Times New Roman" w:eastAsia="Times New Roman" w:cs="Times New Roman"/>
        </w:rPr>
        <w:t xml:space="preserve">BÁO CÁO TIẾN ĐỘ CÁC HẠNG MỤC GÓI CƯỚC, PAYMENT, THÔNG BÁO QUOTA VÀ CMS API</w:t>
      </w:r>
    </w:p>
    <w:p>
      <w:r>
        <w:rPr>
          <w:rFonts w:ascii="Times New Roman" w:hAnsi="Times New Roman" w:eastAsia="Times New Roman" w:cs="Times New Roman"/>
        </w:rPr>
        <w:t xml:space="preserve">Ngày lập: 07/08/2026</w:t>
      </w:r>
    </w:p>
    <w:p>
      <w:r>
        <w:rPr>
          <w:rFonts w:ascii="Times New Roman" w:hAnsi="Times New Roman" w:eastAsia="Times New Roman" w:cs="Times New Roman"/>
        </w:rPr>
        <w:t xml:space="preserve">Dự án: Vbee AI Speech Workspace - nền tảng chuyển giọng nói thành văn bản.</w:t>
      </w:r>
    </w:p>
    <w:p>
      <w:r>
        <w:rPr>
          <w:rFonts w:ascii="Times New Roman" w:hAnsi="Times New Roman" w:eastAsia="Times New Roman" w:cs="Times New Roman"/>
        </w:rPr>
        <w:t xml:space="preserve">Mục tiêu báo cáo: tổng hợp các hạng mục đã hoàn thành, cách triển khai trong source hiện tại và các điểm cần lưu ý trước khi bàn giao/đưa production.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1. Tóm tắt trạng thái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Hạng mục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Trạng thái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Kết quả chính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Làm gói cước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Đã hoàn thành nền tảng chính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Đã có các gói Free/Theo lượt, Tiêu chuẩn, Đặc biệt, Chuyên nghiệp/Business; có quota, giới hạn upload/ghi âm/file, API access, queue weight và trang bảng giá.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Tích hợp payment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Đã hoàn thành luồng chính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Đã có catalog gói/top-up, tạo checkout order, PayOS payment link/QR, webhook xác thực, cập nhật gói/quota sau khi thanh toán thành công. Có demo payment cho local/dev.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Đẩy thông báo khi hết gói free, yêu cầu update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Đã hoàn thành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Frontend kiểm tra quota định kỳ, hiện toast cảnh báo/hết quota với nút Nâng cấp; backend chặn upload/API khi hết quota và có bảng quota_admin_alerts phục vụ admin/email cảnh báo.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CMS: lựa chọn API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Đã hoàn thành phần quản trị provider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</w:rPr>
              <w:t xml:space="preserve">CMS/Admin có trang quản lý nhà cung cấp Speech-to-Text: endpoint, API key, bật/tắt, provider mặc định, routing mode, failover, health, latency và cost. Backend đọc provider từ CMS trước, fallback về .env khi cần.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2. Chi tiết từng hạng mục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2.1. Làm gói cước</w:t>
      </w:r>
    </w:p>
    <w:p>
      <w:r>
        <w:rPr>
          <w:rFonts w:ascii="Times New Roman" w:hAnsi="Times New Roman" w:eastAsia="Times New Roman" w:cs="Times New Roman"/>
        </w:rPr>
        <w:t xml:space="preserve">• Đã định nghĩa cấu hình gói ở backend: Free/Theo lượt, Tiêu chuẩn, Đặc biệt, Chuyên nghiệp/Business.</w:t>
      </w:r>
    </w:p>
    <w:p>
      <w:r>
        <w:rPr>
          <w:rFonts w:ascii="Times New Roman" w:hAnsi="Times New Roman" w:eastAsia="Times New Roman" w:cs="Times New Roman"/>
        </w:rPr>
        <w:t xml:space="preserve">• Mỗi gói có quota theo giây, giới hạn dung lượng upload, giới hạn ghi âm, giới hạn thời lượng file, số job đồng thời, quyền API/webhook, thời gian lưu trữ và mức hỗ trợ.</w:t>
      </w:r>
    </w:p>
    <w:p>
      <w:r>
        <w:rPr>
          <w:rFonts w:ascii="Times New Roman" w:hAnsi="Times New Roman" w:eastAsia="Times New Roman" w:cs="Times New Roman"/>
        </w:rPr>
        <w:t xml:space="preserve">• Database users đã có các trường plan, quota_seconds, quota_alert_seconds, plan_started_at, plan_expires_at để lưu trạng thái gói.</w:t>
      </w:r>
    </w:p>
    <w:p>
      <w:r>
        <w:rPr>
          <w:rFonts w:ascii="Times New Roman" w:hAnsi="Times New Roman" w:eastAsia="Times New Roman" w:cs="Times New Roman"/>
        </w:rPr>
        <w:t xml:space="preserve">• Frontend có trang /pricing, hiển thị gói theo tháng/năm, CTA chọn gói, mua thêm giờ top-up và so sánh tính năng.</w:t>
      </w:r>
    </w:p>
    <w:p>
      <w:r>
        <w:rPr>
          <w:rFonts w:ascii="Times New Roman" w:hAnsi="Times New Roman" w:eastAsia="Times New Roman" w:cs="Times New Roman"/>
        </w:rPr>
        <w:t xml:space="preserve">• Backend expose API /api/billing/plans để frontend lấy catalog gói và top-up.</w:t>
      </w:r>
    </w:p>
    <w:p>
      <w:r>
        <w:rPr>
          <w:rFonts w:ascii="Times New Roman" w:hAnsi="Times New Roman" w:eastAsia="Times New Roman" w:cs="Times New Roman"/>
        </w:rPr>
        <w:t xml:space="preserve">Minh chứng source: backend/services/quotaService.js, backend/services/billingService.js, backend/routes/billing.js, frontend/src/routes/pricing.tsx, database/schema.sql.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2.2. Tích hợp payment</w:t>
      </w:r>
    </w:p>
    <w:p>
      <w:r>
        <w:rPr>
          <w:rFonts w:ascii="Times New Roman" w:hAnsi="Times New Roman" w:eastAsia="Times New Roman" w:cs="Times New Roman"/>
        </w:rPr>
        <w:t xml:space="preserve">• Đã tích hợp provider PayOS làm cổng thanh toán mặc định qua PAYMENT_PROVIDER=payos.</w:t>
      </w:r>
    </w:p>
    <w:p>
      <w:r>
        <w:rPr>
          <w:rFonts w:ascii="Times New Roman" w:hAnsi="Times New Roman" w:eastAsia="Times New Roman" w:cs="Times New Roman"/>
        </w:rPr>
        <w:t xml:space="preserve">• Backend tạo đơn thanh toán ở /api/billing/checkout, lưu billing_orders, sinh paymentCode, paymentUrl, paymentQrCode và thời hạn đơn.</w:t>
      </w:r>
    </w:p>
    <w:p>
      <w:r>
        <w:rPr>
          <w:rFonts w:ascii="Times New Roman" w:hAnsi="Times New Roman" w:eastAsia="Times New Roman" w:cs="Times New Roman"/>
        </w:rPr>
        <w:t xml:space="preserve">• Frontend có trang /checkout/:orderId để hiển thị trạng thái đơn, QR, mã thanh toán, nút mở PayOS, sao chép mã và hủy đơn pending.</w:t>
      </w:r>
    </w:p>
    <w:p>
      <w:r>
        <w:rPr>
          <w:rFonts w:ascii="Times New Roman" w:hAnsi="Times New Roman" w:eastAsia="Times New Roman" w:cs="Times New Roman"/>
        </w:rPr>
        <w:t xml:space="preserve">• Webhook /api/billing/payos/webhook không cần JWT nhưng xác thực chữ ký HMAC qua payosService trước khi cập nhật dữ liệu.</w:t>
      </w:r>
    </w:p>
    <w:p>
      <w:r>
        <w:rPr>
          <w:rFonts w:ascii="Times New Roman" w:hAnsi="Times New Roman" w:eastAsia="Times New Roman" w:cs="Times New Roman"/>
        </w:rPr>
        <w:t xml:space="preserve">• Khi thanh toán thành công, backend khóa đơn trong transaction, kiểm tra amount/paymentCode/expiry, sau đó cập nhật users.plan/quota_seconds hoặc cộng top_up_credits, tạo bản ghi payments và refresh trạng thái cảnh báo quota.</w:t>
      </w:r>
    </w:p>
    <w:p>
      <w:r>
        <w:rPr>
          <w:rFonts w:ascii="Times New Roman" w:hAnsi="Times New Roman" w:eastAsia="Times New Roman" w:cs="Times New Roman"/>
        </w:rPr>
        <w:t xml:space="preserve">• Có cơ chế reconcile đơn pending/hết hạn và demo payment cho môi trường local/dev.</w:t>
      </w:r>
    </w:p>
    <w:p>
      <w:r>
        <w:rPr>
          <w:rFonts w:ascii="Times New Roman" w:hAnsi="Times New Roman" w:eastAsia="Times New Roman" w:cs="Times New Roman"/>
        </w:rPr>
        <w:t xml:space="preserve">Minh chứng source: backend/services/billingService.js, backend/services/payosService.js, backend/routes/billing.js, frontend/src/routes/checkout.$orderId.tsx, frontend/src/lib/billing.ts.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2.3. Thông báo khi hết gói free/yêu cầu update</w:t>
      </w:r>
    </w:p>
    <w:p>
      <w:r>
        <w:rPr>
          <w:rFonts w:ascii="Times New Roman" w:hAnsi="Times New Roman" w:eastAsia="Times New Roman" w:cs="Times New Roman"/>
        </w:rPr>
        <w:t xml:space="preserve">• Frontend có QuotaNotificationCenter trong root app, fetch /api/quota mỗi 60 giây, khi focus tab hoặc khi trang visible lại.</w:t>
      </w:r>
    </w:p>
    <w:p>
      <w:r>
        <w:rPr>
          <w:rFonts w:ascii="Times New Roman" w:hAnsi="Times New Roman" w:eastAsia="Times New Roman" w:cs="Times New Roman"/>
        </w:rPr>
        <w:t xml:space="preserve">• Nếu quota.isLimitReached và plan=free, hệ thống hiện toast lỗi: “Bạn đã dùng hết quota Theo lượt”, mô tả yêu cầu nâng cấp hoặc mua thêm thời lượng.</w:t>
      </w:r>
    </w:p>
    <w:p>
      <w:r>
        <w:rPr>
          <w:rFonts w:ascii="Times New Roman" w:hAnsi="Times New Roman" w:eastAsia="Times New Roman" w:cs="Times New Roman"/>
        </w:rPr>
        <w:t xml:space="preserve">• Toast có action “Nâng cấp” điều hướng trực tiếp sang /pricing. Các cảnh báo quota thấp cũng được hiện trước khi hết hoàn toàn.</w:t>
      </w:r>
    </w:p>
    <w:p>
      <w:r>
        <w:rPr>
          <w:rFonts w:ascii="Times New Roman" w:hAnsi="Times New Roman" w:eastAsia="Times New Roman" w:cs="Times New Roman"/>
        </w:rPr>
        <w:t xml:space="preserve">• Upload/link/recording đều kiểm tra quota ở frontend trước khi gửi request; backend tiếp tục enforce ở quotaService để tránh vượt quota qua API trực tiếp.</w:t>
      </w:r>
    </w:p>
    <w:p>
      <w:r>
        <w:rPr>
          <w:rFonts w:ascii="Times New Roman" w:hAnsi="Times New Roman" w:eastAsia="Times New Roman" w:cs="Times New Roman"/>
        </w:rPr>
        <w:t xml:space="preserve">• Backend tạo/sync quota_admin_alerts theo mức warning, critical, exhausted; có nền tảng gửi email admin qua quotaAlertService.</w:t>
      </w:r>
    </w:p>
    <w:p>
      <w:r>
        <w:rPr>
          <w:rFonts w:ascii="Times New Roman" w:hAnsi="Times New Roman" w:eastAsia="Times New Roman" w:cs="Times New Roman"/>
        </w:rPr>
        <w:t xml:space="preserve">Minh chứng source: frontend/src/routes/__root.tsx, frontend/src/lib/quota.ts, frontend/src/routes/upload.tsx, backend/services/quotaService.js, backend/services/quotaAlertService.js, database/schema.sql.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 xml:space="preserve">2.4. CMS: lựa chọn API</w:t>
      </w:r>
    </w:p>
    <w:p>
      <w:r>
        <w:rPr>
          <w:rFonts w:ascii="Times New Roman" w:hAnsi="Times New Roman" w:eastAsia="Times New Roman" w:cs="Times New Roman"/>
        </w:rPr>
        <w:t xml:space="preserve">• CMS/Admin đã có màn Quản lý nhà cung cấp Speech-to-Text ở /admin/providers.</w:t>
      </w:r>
    </w:p>
    <w:p>
      <w:r>
        <w:rPr>
          <w:rFonts w:ascii="Times New Roman" w:hAnsi="Times New Roman" w:eastAsia="Times New Roman" w:cs="Times New Roman"/>
        </w:rPr>
        <w:t xml:space="preserve">• Admin có thể xem/sửa endpoint, API key, bật/tắt provider, đặt provider mặc định, chọn chế độ định tuyến manual/auto/rule_based, đặt provider dự phòng, cập nhật chi phí và kiểm tra health.</w:t>
      </w:r>
    </w:p>
    <w:p>
      <w:r>
        <w:rPr>
          <w:rFonts w:ascii="Times New Roman" w:hAnsi="Times New Roman" w:eastAsia="Times New Roman" w:cs="Times New Roman"/>
        </w:rPr>
        <w:t xml:space="preserve">• Backend lưu provider trong bảng stt_providers, mã hóa API key, chỉ hiển thị key masked ở UI.</w:t>
      </w:r>
    </w:p>
    <w:p>
      <w:r>
        <w:rPr>
          <w:rFonts w:ascii="Times New Roman" w:hAnsi="Times New Roman" w:eastAsia="Times New Roman" w:cs="Times New Roman"/>
        </w:rPr>
        <w:t xml:space="preserve">• transcriptionService đọc provider mặc định từ CMS; nếu có failover thì ghép provider CMS với chain từ .env. Nếu CMS lỗi hoặc chưa cấu hình thì fallback về cấu hình .env.</w:t>
      </w:r>
    </w:p>
    <w:p>
      <w:r>
        <w:rPr>
          <w:rFonts w:ascii="Times New Roman" w:hAnsi="Times New Roman" w:eastAsia="Times New Roman" w:cs="Times New Roman"/>
        </w:rPr>
        <w:t xml:space="preserve">• Provider hiện hỗ trợ theo source: vbee, assemblyai, sonix, deepgram; có circuit breaker/retry/failover để giảm rủi ro khi một API lỗi.</w:t>
      </w:r>
    </w:p>
    <w:p>
      <w:r>
        <w:rPr>
          <w:rFonts w:ascii="Times New Roman" w:hAnsi="Times New Roman" w:eastAsia="Times New Roman" w:cs="Times New Roman"/>
        </w:rPr>
        <w:t xml:space="preserve">Minh chứng source: frontend/src/routes/admin.providers.tsx, frontend/src/lib/admin/providers-service.ts, backend/routes/admin.js, backend/services/providerSecrets.js, backend/services/transcriptionService.js, frontend/.env.example.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3. Kết quả bàn giao</w:t>
      </w:r>
    </w:p>
    <w:p>
      <w:r>
        <w:rPr>
          <w:rFonts w:ascii="Times New Roman" w:hAnsi="Times New Roman" w:eastAsia="Times New Roman" w:cs="Times New Roman"/>
        </w:rPr>
        <w:t xml:space="preserve">• Người dùng có thể xem gói, chọn gói/top-up, tạo đơn thanh toán, thanh toán bằng PayOS/QR và được cập nhật quota sau khi paid.</w:t>
      </w:r>
    </w:p>
    <w:p>
      <w:r>
        <w:rPr>
          <w:rFonts w:ascii="Times New Roman" w:hAnsi="Times New Roman" w:eastAsia="Times New Roman" w:cs="Times New Roman"/>
        </w:rPr>
        <w:t xml:space="preserve">• Người dùng free khi hết quota được cảnh báo rõ và được điều hướng nâng cấp.</w:t>
      </w:r>
    </w:p>
    <w:p>
      <w:r>
        <w:rPr>
          <w:rFonts w:ascii="Times New Roman" w:hAnsi="Times New Roman" w:eastAsia="Times New Roman" w:cs="Times New Roman"/>
        </w:rPr>
        <w:t xml:space="preserve">• Admin/CMS có thể lựa chọn và vận hành API Speech-to-Text mà không cần sửa code trực tiếp.</w:t>
      </w:r>
    </w:p>
    <w:p>
      <w:r>
        <w:rPr>
          <w:rFonts w:ascii="Times New Roman" w:hAnsi="Times New Roman" w:eastAsia="Times New Roman" w:cs="Times New Roman"/>
        </w:rPr>
        <w:t xml:space="preserve">• Source hiện có tài liệu ghi chú bổ sung: PRICING_ROUTE_AND_VBEE_UPGRADE_NOTES.md, SONIX_QUOTA_WORKSPACE_NOTES.md, API_INTEGRATION_NOTES.md, payment-operations-end-to-end.md.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4. Lưu ý trước production</w:t>
      </w:r>
    </w:p>
    <w:p>
      <w:r>
        <w:rPr>
          <w:rFonts w:ascii="Times New Roman" w:hAnsi="Times New Roman" w:eastAsia="Times New Roman" w:cs="Times New Roman"/>
        </w:rPr>
        <w:t xml:space="preserve">• Cần cấu hình khóa PayOS thật trong backend/.env và kiểm tra webhook URL public HTTPS.</w:t>
      </w:r>
    </w:p>
    <w:p>
      <w:r>
        <w:rPr>
          <w:rFonts w:ascii="Times New Roman" w:hAnsi="Times New Roman" w:eastAsia="Times New Roman" w:cs="Times New Roman"/>
        </w:rPr>
        <w:t xml:space="preserve">• Cần chạy migration/schema trên database production để có đủ users plan/quota, billing_orders, payments, top_up_credits, stt_providers và quota_admin_alerts.</w:t>
      </w:r>
    </w:p>
    <w:p>
      <w:r>
        <w:rPr>
          <w:rFonts w:ascii="Times New Roman" w:hAnsi="Times New Roman" w:eastAsia="Times New Roman" w:cs="Times New Roman"/>
        </w:rPr>
        <w:t xml:space="preserve">• Cần kiểm thử end-to-end với giao dịch PayOS giá trị nhỏ: tạo order, quét QR, nhận webhook, cập nhật quota, replay webhook không cộng trùng.</w:t>
      </w:r>
    </w:p>
    <w:p>
      <w:r>
        <w:rPr>
          <w:rFonts w:ascii="Times New Roman" w:hAnsi="Times New Roman" w:eastAsia="Times New Roman" w:cs="Times New Roman"/>
        </w:rPr>
        <w:t xml:space="preserve">• Cần kiểm tra quyền CMS/Admin vì workspace hiện có một số file admin đang modified chưa commit.</w:t>
      </w:r>
    </w:p>
    <w:p>
      <w:r>
        <w:rPr>
          <w:rFonts w:ascii="Times New Roman" w:hAnsi="Times New Roman" w:eastAsia="Times New Roman" w:cs="Times New Roman"/>
        </w:rPr>
        <w:t xml:space="preserve">• Nếu dùng email cảnh báo admin, cần cấu hình SMTP/recipient và chạy dispatcher/reconcile theo môi trường triển khai.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 xml:space="preserve">5. Kết luận</w:t>
      </w:r>
    </w:p>
    <w:p>
      <w:r>
        <w:rPr>
          <w:rFonts w:ascii="Times New Roman" w:hAnsi="Times New Roman" w:eastAsia="Times New Roman" w:cs="Times New Roman"/>
        </w:rPr>
        <w:t xml:space="preserve">Bốn hạng mục người dùng yêu cầu đều đã có implementation trong source hiện tại. Mức độ hoàn thành phù hợp để demo/bàn giao nội bộ. Trước khi mở production cần hoàn tất cấu hình môi trường thật, chạy migration và test thanh toán thật với PayOS để xác nhận webhook/quota hoạt động đúng.</w:t>
      </w:r>
    </w:p>
    <w:sectPr>
      <w:pgSz w:w="11906" w:h="16838"/>
      <w:pgMar w:top="1440" w:right="1200" w:bottom="1440" w:lef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</w:docDefaults>
  <w:style w:type="paragraph" w:default="1" w:styleId="Normal">
    <w:name w:val="Normal"/>
    <w:rPr>
      <w:rFonts w:ascii="Times New Roman" w:hAnsi="Times New Roman" w:eastAsia="Times New Roman" w:cs="Times New Roman"/>
      <w:sz w:val="24"/>
      <w:szCs w:val="24"/>
    </w:rPr>
    <w:pPr>
      <w:spacing w:after="120"/>
    </w:pPr>
  </w:style>
  <w:style w:type="paragraph" w:styleId="Title">
    <w:name w:val="Title"/>
    <w:rPr>
      <w:rFonts w:ascii="Times New Roman" w:hAnsi="Times New Roman" w:eastAsia="Times New Roman" w:cs="Times New Roman"/>
      <w:b/>
      <w:bCs/>
      <w:sz w:val="32"/>
      <w:szCs w:val="32"/>
    </w:rPr>
    <w:pPr>
      <w:spacing w:after="240"/>
    </w:pPr>
  </w:style>
  <w:style w:type="paragraph" w:styleId="Heading1">
    <w:name w:val="heading 1"/>
    <w:basedOn w:val="Normal"/>
    <w:next w:val="Normal"/>
    <w:rPr>
      <w:rFonts w:ascii="Times New Roman" w:hAnsi="Times New Roman" w:eastAsia="Times New Roman" w:cs="Times New Roman"/>
      <w:b/>
      <w:bCs/>
      <w:sz w:val="28"/>
      <w:szCs w:val="28"/>
    </w:rPr>
    <w:pPr>
      <w:spacing w:before="240" w:after="120"/>
    </w:pPr>
  </w:style>
  <w:style w:type="paragraph" w:styleId="Heading2">
    <w:name w:val="heading 2"/>
    <w:basedOn w:val="Normal"/>
    <w:next w:val="Normal"/>
    <w:rPr>
      <w:rFonts w:ascii="Times New Roman" w:hAnsi="Times New Roman" w:eastAsia="Times New Roman" w:cs="Times New Roman"/>
      <w:b/>
      <w:bCs/>
      <w:sz w:val="26"/>
      <w:szCs w:val="26"/>
    </w:rPr>
    <w:pPr>
      <w:spacing w:before="180" w:after="10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