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(seedance / kling / minimax), truyền vào provider.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w:t>
      </w:r>
      <w:r>
        <w:t xml:space="preserve"> </w:t>
      </w:r>
      <w:r>
        <w:t xml:space="preserve">Bước 5a (nhạc) có thể dùng chính Clip AI (Seed Audio/ElevenLabs), giảm một nhà cung cấp. Cần xác nhận API có endpoint audio và điều khoản thương mại.</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Điểm cần hỏi khi xin API:</w:t>
      </w:r>
      <w:r>
        <w:t xml:space="preserve"> </w:t>
      </w:r>
      <w:r>
        <w:t xml:space="preserve">danh sách model và phiên bản có thể chọn qua API, tham số chọn model, endpoint audio, hạn mức/credit theo model, chính sách kiểm duyệt theo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2026-09-19T12:40:07Z</dcterms:created>
  <dcterms:modified xsi:type="dcterms:W3CDTF">2026-09-19T12:40:07Z</dcterms:modified>
</cp:coreProperties>
</file>

<file path=docProps/custom.xml><?xml version="1.0" encoding="utf-8"?>
<Properties xmlns="http://schemas.openxmlformats.org/officeDocument/2006/custom-properties" xmlns:vt="http://schemas.openxmlformats.org/officeDocument/2006/docPropsVTypes"/>
</file>