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36" w:lineRule="auto" w:before="0" w:after="400"/>
      </w:pPr>
    </w:p>
    <w:p>
      <w:pPr>
        <w:spacing w:line="336" w:lineRule="auto" w:before="0" w:after="120"/>
        <w:jc w:val="center"/>
      </w:pPr>
      <w:r>
        <w:rPr>
          <w:rFonts w:ascii="微软雅黑" w:hAnsi="微软雅黑" w:eastAsia="微软雅黑"/>
          <w:b/>
          <w:color w:val="1F4E79"/>
          <w:sz w:val="42"/>
        </w:rPr>
        <w:t>药物临床试验中受试者—研究者对话板块</w:t>
      </w:r>
    </w:p>
    <w:p>
      <w:pPr>
        <w:spacing w:line="336" w:lineRule="auto" w:before="0" w:after="360"/>
        <w:jc w:val="center"/>
      </w:pPr>
      <w:r>
        <w:rPr>
          <w:rFonts w:ascii="微软雅黑" w:hAnsi="微软雅黑" w:eastAsia="微软雅黑"/>
          <w:b/>
          <w:color w:val="2E5C8A"/>
          <w:sz w:val="30"/>
        </w:rPr>
        <w:t>分类、参照法规与热门评分标准研究</w:t>
      </w:r>
    </w:p>
    <w:p>
      <w:pPr>
        <w:spacing w:line="336" w:lineRule="auto" w:before="0" w:after="40"/>
        <w:jc w:val="center"/>
      </w:pPr>
      <w:r>
        <w:rPr>
          <w:rFonts w:ascii="宋体" w:hAnsi="宋体" w:eastAsia="宋体"/>
          <w:b/>
          <w:color w:val="666666"/>
          <w:sz w:val="21"/>
        </w:rPr>
        <w:t>编制日期：</w:t>
      </w:r>
      <w:r>
        <w:rPr>
          <w:rFonts w:ascii="宋体" w:hAnsi="宋体" w:eastAsia="宋体"/>
          <w:b w:val="0"/>
          <w:color w:val="666666"/>
          <w:sz w:val="21"/>
        </w:rPr>
        <w:t>2026-08-31</w:t>
      </w:r>
      <w:r>
        <w:rPr>
          <w:rFonts w:ascii="宋体" w:hAnsi="宋体" w:eastAsia="宋体"/>
          <w:b/>
          <w:color w:val="666666"/>
          <w:sz w:val="21"/>
        </w:rPr>
        <w:t xml:space="preserve">      用途：</w:t>
      </w:r>
      <w:r>
        <w:rPr>
          <w:rFonts w:ascii="宋体" w:hAnsi="宋体" w:eastAsia="宋体"/>
          <w:b w:val="0"/>
          <w:color w:val="666666"/>
          <w:sz w:val="21"/>
        </w:rPr>
        <w:t>AI-SP 训练系统设计依据</w:t>
      </w:r>
    </w:p>
    <w:p>
      <w:pPr>
        <w:spacing w:before="160"/>
        <w:pBdr>
          <w:bottom w:val="single" w:sz="6" w:space="1" w:color="1F4E79"/>
        </w:pBdr>
      </w:pPr>
    </w:p>
    <w:p>
      <w:pPr>
        <w:spacing w:line="336" w:lineRule="auto" w:before="120" w:after="80"/>
      </w:pPr>
      <w:r>
        <w:rPr>
          <w:rFonts w:ascii="宋体" w:hAnsi="宋体" w:eastAsia="宋体"/>
          <w:b w:val="0"/>
          <w:color w:val="666666"/>
          <w:sz w:val="19"/>
        </w:rPr>
        <w:t>说明：受版权与平台限制，本文无法直接以附件发送受保护的法规 PDF。第二章「参照文献／通知」以【官方权威链接（原件获取地址）+ 关键条款原文摘录】形式呈现，点击链接可查看或下载官方发布的完整原件；摘编内容仅用于教学训练设计参考，正式引用请以官方最新发布版本为准。</w:t>
      </w:r>
    </w:p>
    <w:p>
      <w:pPr>
        <w:keepNext/>
        <w:spacing w:before="320" w:after="160"/>
      </w:pPr>
      <w:r>
        <w:rPr>
          <w:rFonts w:ascii="微软雅黑" w:hAnsi="微软雅黑" w:eastAsia="微软雅黑"/>
          <w:b/>
          <w:color w:val="2E5C8A"/>
          <w:sz w:val="32"/>
        </w:rPr>
        <w:t>一、受试者—研究者对话板块分类（先大类·后小类）</w:t>
      </w:r>
    </w:p>
    <w:p>
      <w:pPr>
        <w:spacing w:line="336" w:lineRule="auto" w:before="0" w:after="120"/>
      </w:pPr>
      <w:r>
        <w:rPr>
          <w:rFonts w:ascii="宋体" w:hAnsi="宋体" w:eastAsia="宋体"/>
          <w:b w:val="0"/>
          <w:sz w:val="22"/>
        </w:rPr>
        <w:t>以「可以用对话形式完成」为标准，将药物临床试验全周期中受试者与研究者之间的交互拆解为 7 大板块、若干小类。该分类既覆盖现行 GCP 对知情告知与问诊采集的要求，也对接本项目 AI-SP 评分量表的 A（知情告知）、B（问诊采集）两大维度。</w:t>
      </w:r>
    </w:p>
    <w:p>
      <w:pPr>
        <w:keepNext/>
        <w:spacing w:before="200" w:after="80"/>
      </w:pPr>
      <w:r>
        <w:rPr>
          <w:rFonts w:ascii="微软雅黑" w:hAnsi="微软雅黑" w:eastAsia="微软雅黑"/>
          <w:b/>
          <w:color w:val="1F4E79"/>
          <w:sz w:val="25"/>
        </w:rPr>
        <w:t>1 入组前／筛选期（Pre-enrollment &amp; Screening）</w:t>
      </w:r>
    </w:p>
    <w:p>
      <w:pPr>
        <w:pStyle w:val="ListBullet"/>
        <w:spacing w:after="60" w:line="324" w:lineRule="auto"/>
      </w:pPr>
      <w:r>
        <w:rPr>
          <w:rFonts w:ascii="宋体" w:hAnsi="宋体" w:eastAsia="宋体"/>
          <w:b/>
          <w:sz w:val="22"/>
        </w:rPr>
        <w:t>知情告知与知情同意：</w:t>
      </w:r>
      <w:r>
        <w:rPr>
          <w:rFonts w:ascii="宋体" w:hAnsi="宋体" w:eastAsia="宋体"/>
          <w:b w:val="0"/>
          <w:sz w:val="22"/>
        </w:rPr>
        <w:t>研究者向受试者说明试验详细情况、获取自愿签署的知情同意书。</w:t>
      </w:r>
    </w:p>
    <w:p>
      <w:pPr>
        <w:pStyle w:val="ListBullet"/>
        <w:spacing w:after="60" w:line="324" w:lineRule="auto"/>
      </w:pPr>
      <w:r>
        <w:rPr>
          <w:rFonts w:ascii="宋体" w:hAnsi="宋体" w:eastAsia="宋体"/>
          <w:b/>
          <w:sz w:val="22"/>
        </w:rPr>
        <w:t>目的/流程/期限讲解：</w:t>
      </w:r>
      <w:r>
        <w:rPr>
          <w:rFonts w:ascii="宋体" w:hAnsi="宋体" w:eastAsia="宋体"/>
          <w:b w:val="0"/>
          <w:sz w:val="22"/>
        </w:rPr>
        <w:t>试验目的、过程与期限、检查操作、随机分组可能性。</w:t>
      </w:r>
    </w:p>
    <w:p>
      <w:pPr>
        <w:pStyle w:val="ListBullet"/>
        <w:spacing w:after="60" w:line="324" w:lineRule="auto"/>
      </w:pPr>
      <w:r>
        <w:rPr>
          <w:rFonts w:ascii="宋体" w:hAnsi="宋体" w:eastAsia="宋体"/>
          <w:b/>
          <w:sz w:val="22"/>
        </w:rPr>
        <w:t>风险与获益告知：</w:t>
      </w:r>
      <w:r>
        <w:rPr>
          <w:rFonts w:ascii="宋体" w:hAnsi="宋体" w:eastAsia="宋体"/>
          <w:b w:val="0"/>
          <w:sz w:val="22"/>
        </w:rPr>
        <w:t>可能的受益与风险、不便，以及对照组相应补偿。</w:t>
      </w:r>
    </w:p>
    <w:p>
      <w:pPr>
        <w:pStyle w:val="ListBullet"/>
        <w:spacing w:after="60" w:line="324" w:lineRule="auto"/>
      </w:pPr>
      <w:r>
        <w:rPr>
          <w:rFonts w:ascii="宋体" w:hAnsi="宋体" w:eastAsia="宋体"/>
          <w:b/>
          <w:sz w:val="22"/>
        </w:rPr>
        <w:t>自愿性与退出权：</w:t>
      </w:r>
      <w:r>
        <w:rPr>
          <w:rFonts w:ascii="宋体" w:hAnsi="宋体" w:eastAsia="宋体"/>
          <w:b w:val="0"/>
          <w:sz w:val="22"/>
        </w:rPr>
        <w:t>参与完全自愿，且拥有无条件随时退出的权利。</w:t>
      </w:r>
    </w:p>
    <w:p>
      <w:pPr>
        <w:pStyle w:val="ListBullet"/>
        <w:spacing w:after="60" w:line="324" w:lineRule="auto"/>
      </w:pPr>
      <w:r>
        <w:rPr>
          <w:rFonts w:ascii="宋体" w:hAnsi="宋体" w:eastAsia="宋体"/>
          <w:b/>
          <w:sz w:val="22"/>
        </w:rPr>
        <w:t>隐私与保密说明：</w:t>
      </w:r>
      <w:r>
        <w:rPr>
          <w:rFonts w:ascii="宋体" w:hAnsi="宋体" w:eastAsia="宋体"/>
          <w:b w:val="0"/>
          <w:sz w:val="22"/>
        </w:rPr>
        <w:t>个人资料与隐私受保密，必要时监管/伦理可依规查阅。</w:t>
      </w:r>
    </w:p>
    <w:p>
      <w:pPr>
        <w:pStyle w:val="ListBullet"/>
        <w:spacing w:after="60" w:line="324" w:lineRule="auto"/>
      </w:pPr>
      <w:r>
        <w:rPr>
          <w:rFonts w:ascii="宋体" w:hAnsi="宋体" w:eastAsia="宋体"/>
          <w:b/>
          <w:sz w:val="22"/>
        </w:rPr>
        <w:t>入排标准核对问询：</w:t>
      </w:r>
      <w:r>
        <w:rPr>
          <w:rFonts w:ascii="宋体" w:hAnsi="宋体" w:eastAsia="宋体"/>
          <w:b w:val="0"/>
          <w:sz w:val="22"/>
        </w:rPr>
        <w:t>入排标准核对、受试者的疑问解答。</w:t>
      </w:r>
    </w:p>
    <w:p>
      <w:pPr>
        <w:pStyle w:val="ListBullet"/>
        <w:spacing w:after="60" w:line="324" w:lineRule="auto"/>
      </w:pPr>
      <w:r>
        <w:rPr>
          <w:rFonts w:ascii="宋体" w:hAnsi="宋体" w:eastAsia="宋体"/>
          <w:b/>
          <w:sz w:val="22"/>
        </w:rPr>
        <w:t>补偿/费用说明：</w:t>
      </w:r>
      <w:r>
        <w:rPr>
          <w:rFonts w:ascii="宋体" w:hAnsi="宋体" w:eastAsia="宋体"/>
          <w:b w:val="0"/>
          <w:sz w:val="22"/>
        </w:rPr>
        <w:t>参加补偿、花费、与研究相关损害的医疗与补偿。</w:t>
      </w:r>
    </w:p>
    <w:p>
      <w:pPr>
        <w:keepNext/>
        <w:spacing w:before="200" w:after="80"/>
      </w:pPr>
      <w:r>
        <w:rPr>
          <w:rFonts w:ascii="微软雅黑" w:hAnsi="微软雅黑" w:eastAsia="微软雅黑"/>
          <w:b/>
          <w:color w:val="1F4E79"/>
          <w:sz w:val="25"/>
        </w:rPr>
        <w:t>2 基线评估／入组期（Baseline Enrollment）</w:t>
      </w:r>
    </w:p>
    <w:p>
      <w:pPr>
        <w:pStyle w:val="ListBullet"/>
        <w:spacing w:after="60" w:line="324" w:lineRule="auto"/>
      </w:pPr>
      <w:r>
        <w:rPr>
          <w:rFonts w:ascii="宋体" w:hAnsi="宋体" w:eastAsia="宋体"/>
          <w:b/>
          <w:sz w:val="22"/>
        </w:rPr>
        <w:t>现病史/症状问诊：</w:t>
      </w:r>
      <w:r>
        <w:rPr>
          <w:rFonts w:ascii="宋体" w:hAnsi="宋体" w:eastAsia="宋体"/>
          <w:b w:val="0"/>
          <w:sz w:val="22"/>
        </w:rPr>
        <w:t>现病史、本次主要症状（如头痛）及其性质、程度、规律。</w:t>
      </w:r>
    </w:p>
    <w:p>
      <w:pPr>
        <w:pStyle w:val="ListBullet"/>
        <w:spacing w:after="60" w:line="324" w:lineRule="auto"/>
      </w:pPr>
      <w:r>
        <w:rPr>
          <w:rFonts w:ascii="宋体" w:hAnsi="宋体" w:eastAsia="宋体"/>
          <w:b/>
          <w:sz w:val="22"/>
        </w:rPr>
        <w:t>既往史问询：</w:t>
      </w:r>
      <w:r>
        <w:rPr>
          <w:rFonts w:ascii="宋体" w:hAnsi="宋体" w:eastAsia="宋体"/>
          <w:b w:val="0"/>
          <w:sz w:val="22"/>
        </w:rPr>
        <w:t>既往疾病史、合并疾病、手术史。</w:t>
      </w:r>
    </w:p>
    <w:p>
      <w:pPr>
        <w:pStyle w:val="ListBullet"/>
        <w:spacing w:after="60" w:line="324" w:lineRule="auto"/>
      </w:pPr>
      <w:r>
        <w:rPr>
          <w:rFonts w:ascii="宋体" w:hAnsi="宋体" w:eastAsia="宋体"/>
          <w:b/>
          <w:sz w:val="22"/>
        </w:rPr>
        <w:t>用药史/合并用药：</w:t>
      </w:r>
      <w:r>
        <w:rPr>
          <w:rFonts w:ascii="宋体" w:hAnsi="宋体" w:eastAsia="宋体"/>
          <w:b w:val="0"/>
          <w:sz w:val="22"/>
        </w:rPr>
        <w:t>长期口服降压药等用药史、合并用药。</w:t>
      </w:r>
    </w:p>
    <w:p>
      <w:pPr>
        <w:pStyle w:val="ListBullet"/>
        <w:spacing w:after="60" w:line="324" w:lineRule="auto"/>
      </w:pPr>
      <w:r>
        <w:rPr>
          <w:rFonts w:ascii="宋体" w:hAnsi="宋体" w:eastAsia="宋体"/>
          <w:b/>
          <w:sz w:val="22"/>
        </w:rPr>
        <w:t>过敏史问询：</w:t>
      </w:r>
      <w:r>
        <w:rPr>
          <w:rFonts w:ascii="宋体" w:hAnsi="宋体" w:eastAsia="宋体"/>
          <w:b w:val="0"/>
          <w:sz w:val="22"/>
        </w:rPr>
        <w:t>药物/食物过敏史。</w:t>
      </w:r>
    </w:p>
    <w:p>
      <w:pPr>
        <w:pStyle w:val="ListBullet"/>
        <w:spacing w:after="60" w:line="324" w:lineRule="auto"/>
      </w:pPr>
      <w:r>
        <w:rPr>
          <w:rFonts w:ascii="宋体" w:hAnsi="宋体" w:eastAsia="宋体"/>
          <w:b/>
          <w:sz w:val="22"/>
        </w:rPr>
        <w:t>人口学/生活方式：</w:t>
      </w:r>
      <w:r>
        <w:rPr>
          <w:rFonts w:ascii="宋体" w:hAnsi="宋体" w:eastAsia="宋体"/>
          <w:b w:val="0"/>
          <w:sz w:val="22"/>
        </w:rPr>
        <w:t>年龄、性别、职业、文化程度、吸烟饮酒、生活方式。</w:t>
      </w:r>
    </w:p>
    <w:p>
      <w:pPr>
        <w:pStyle w:val="ListBullet"/>
        <w:spacing w:after="60" w:line="324" w:lineRule="auto"/>
      </w:pPr>
      <w:r>
        <w:rPr>
          <w:rFonts w:ascii="宋体" w:hAnsi="宋体" w:eastAsia="宋体"/>
          <w:b/>
          <w:sz w:val="22"/>
        </w:rPr>
        <w:t>检查配合说明：</w:t>
      </w:r>
      <w:r>
        <w:rPr>
          <w:rFonts w:ascii="宋体" w:hAnsi="宋体" w:eastAsia="宋体"/>
          <w:b w:val="0"/>
          <w:sz w:val="22"/>
        </w:rPr>
        <w:t>体格检查、采血等操作的配合说明与知情同意。</w:t>
      </w:r>
    </w:p>
    <w:p>
      <w:pPr>
        <w:keepNext/>
        <w:spacing w:before="200" w:after="80"/>
      </w:pPr>
      <w:r>
        <w:rPr>
          <w:rFonts w:ascii="微软雅黑" w:hAnsi="微软雅黑" w:eastAsia="微软雅黑"/>
          <w:b/>
          <w:color w:val="1F4E79"/>
          <w:sz w:val="25"/>
        </w:rPr>
        <w:t>3 治疗／随访期（Treatment &amp; Follow-up）</w:t>
      </w:r>
    </w:p>
    <w:p>
      <w:pPr>
        <w:pStyle w:val="ListBullet"/>
        <w:spacing w:after="60" w:line="324" w:lineRule="auto"/>
      </w:pPr>
      <w:r>
        <w:rPr>
          <w:rFonts w:ascii="宋体" w:hAnsi="宋体" w:eastAsia="宋体"/>
          <w:b/>
          <w:sz w:val="22"/>
        </w:rPr>
        <w:t>用药指导：</w:t>
      </w:r>
      <w:r>
        <w:rPr>
          <w:rFonts w:ascii="宋体" w:hAnsi="宋体" w:eastAsia="宋体"/>
          <w:b w:val="0"/>
          <w:sz w:val="22"/>
        </w:rPr>
        <w:t>试验用药品正确用法、剂量、时间，注意事项。</w:t>
      </w:r>
    </w:p>
    <w:p>
      <w:pPr>
        <w:pStyle w:val="ListBullet"/>
        <w:spacing w:after="60" w:line="324" w:lineRule="auto"/>
      </w:pPr>
      <w:r>
        <w:rPr>
          <w:rFonts w:ascii="宋体" w:hAnsi="宋体" w:eastAsia="宋体"/>
          <w:b/>
          <w:sz w:val="22"/>
        </w:rPr>
        <w:t>访视安排告知：</w:t>
      </w:r>
      <w:r>
        <w:rPr>
          <w:rFonts w:ascii="宋体" w:hAnsi="宋体" w:eastAsia="宋体"/>
          <w:b w:val="0"/>
          <w:sz w:val="22"/>
        </w:rPr>
        <w:t>每次访视/复诊的时间、内容、窗口期安排。</w:t>
      </w:r>
    </w:p>
    <w:p>
      <w:pPr>
        <w:pStyle w:val="ListBullet"/>
        <w:spacing w:after="60" w:line="324" w:lineRule="auto"/>
      </w:pPr>
      <w:r>
        <w:rPr>
          <w:rFonts w:ascii="宋体" w:hAnsi="宋体" w:eastAsia="宋体"/>
          <w:b/>
          <w:sz w:val="22"/>
        </w:rPr>
        <w:t>AE/不良反应汇报：</w:t>
      </w:r>
      <w:r>
        <w:rPr>
          <w:rFonts w:ascii="宋体" w:hAnsi="宋体" w:eastAsia="宋体"/>
          <w:b w:val="0"/>
          <w:sz w:val="22"/>
        </w:rPr>
        <w:t>受试者主动汇报不良事件(AE)/不良反应的引导对话。</w:t>
      </w:r>
    </w:p>
    <w:p>
      <w:pPr>
        <w:pStyle w:val="ListBullet"/>
        <w:spacing w:after="60" w:line="324" w:lineRule="auto"/>
      </w:pPr>
      <w:r>
        <w:rPr>
          <w:rFonts w:ascii="宋体" w:hAnsi="宋体" w:eastAsia="宋体"/>
          <w:b/>
          <w:sz w:val="22"/>
        </w:rPr>
        <w:t>症状变化追踪：</w:t>
      </w:r>
      <w:r>
        <w:rPr>
          <w:rFonts w:ascii="宋体" w:hAnsi="宋体" w:eastAsia="宋体"/>
          <w:b w:val="0"/>
          <w:sz w:val="22"/>
        </w:rPr>
        <w:t>追踪症状变化、疗效体会。</w:t>
      </w:r>
    </w:p>
    <w:p>
      <w:pPr>
        <w:pStyle w:val="ListBullet"/>
        <w:spacing w:after="60" w:line="324" w:lineRule="auto"/>
      </w:pPr>
      <w:r>
        <w:rPr>
          <w:rFonts w:ascii="宋体" w:hAnsi="宋体" w:eastAsia="宋体"/>
          <w:b/>
          <w:sz w:val="22"/>
        </w:rPr>
        <w:t>检查配合说明：</w:t>
      </w:r>
      <w:r>
        <w:rPr>
          <w:rFonts w:ascii="宋体" w:hAnsi="宋体" w:eastAsia="宋体"/>
          <w:b w:val="0"/>
          <w:sz w:val="22"/>
        </w:rPr>
        <w:t>实验室/影像等检查项目的配合说明。</w:t>
      </w:r>
    </w:p>
    <w:p>
      <w:pPr>
        <w:pStyle w:val="ListBullet"/>
        <w:spacing w:after="60" w:line="324" w:lineRule="auto"/>
      </w:pPr>
      <w:r>
        <w:rPr>
          <w:rFonts w:ascii="宋体" w:hAnsi="宋体" w:eastAsia="宋体"/>
          <w:b/>
          <w:sz w:val="22"/>
        </w:rPr>
        <w:t>生活方式干预：</w:t>
      </w:r>
      <w:r>
        <w:rPr>
          <w:rFonts w:ascii="宋体" w:hAnsi="宋体" w:eastAsia="宋体"/>
          <w:b w:val="0"/>
          <w:sz w:val="22"/>
        </w:rPr>
        <w:t>饮食、运动、禁忌等生活方式干预建议。</w:t>
      </w:r>
    </w:p>
    <w:p>
      <w:pPr>
        <w:pStyle w:val="ListBullet"/>
        <w:spacing w:after="60" w:line="324" w:lineRule="auto"/>
      </w:pPr>
      <w:r>
        <w:rPr>
          <w:rFonts w:ascii="宋体" w:hAnsi="宋体" w:eastAsia="宋体"/>
          <w:b/>
          <w:sz w:val="22"/>
        </w:rPr>
        <w:t>合并用药提醒：</w:t>
      </w:r>
      <w:r>
        <w:rPr>
          <w:rFonts w:ascii="宋体" w:hAnsi="宋体" w:eastAsia="宋体"/>
          <w:b w:val="0"/>
          <w:sz w:val="22"/>
        </w:rPr>
        <w:t>提醒避免方案禁用合并用药。</w:t>
      </w:r>
    </w:p>
    <w:p>
      <w:pPr>
        <w:keepNext/>
        <w:spacing w:before="200" w:after="80"/>
      </w:pPr>
      <w:r>
        <w:rPr>
          <w:rFonts w:ascii="微软雅黑" w:hAnsi="微软雅黑" w:eastAsia="微软雅黑"/>
          <w:b/>
          <w:color w:val="1F4E79"/>
          <w:sz w:val="25"/>
        </w:rPr>
        <w:t>4 安全监测与风险管理（Safety）</w:t>
      </w:r>
    </w:p>
    <w:p>
      <w:pPr>
        <w:pStyle w:val="ListBullet"/>
        <w:spacing w:after="60" w:line="324" w:lineRule="auto"/>
      </w:pPr>
      <w:r>
        <w:rPr>
          <w:rFonts w:ascii="宋体" w:hAnsi="宋体" w:eastAsia="宋体"/>
          <w:b/>
          <w:sz w:val="22"/>
        </w:rPr>
        <w:t>SAE 上报沟通：</w:t>
      </w:r>
      <w:r>
        <w:rPr>
          <w:rFonts w:ascii="宋体" w:hAnsi="宋体" w:eastAsia="宋体"/>
          <w:b w:val="0"/>
          <w:sz w:val="22"/>
        </w:rPr>
        <w:t>严重不良事件(SAE)的上报沟通与受试者的妥善医疗处理告知。</w:t>
      </w:r>
    </w:p>
    <w:p>
      <w:pPr>
        <w:pStyle w:val="ListBullet"/>
        <w:spacing w:after="60" w:line="324" w:lineRule="auto"/>
      </w:pPr>
      <w:r>
        <w:rPr>
          <w:rFonts w:ascii="宋体" w:hAnsi="宋体" w:eastAsia="宋体"/>
          <w:b/>
          <w:sz w:val="22"/>
        </w:rPr>
        <w:t>特殊事件报告：</w:t>
      </w:r>
      <w:r>
        <w:rPr>
          <w:rFonts w:ascii="宋体" w:hAnsi="宋体" w:eastAsia="宋体"/>
          <w:b w:val="0"/>
          <w:sz w:val="22"/>
        </w:rPr>
        <w:t>妊娠、特殊事件等须报告情形的告知与处理。</w:t>
      </w:r>
    </w:p>
    <w:p>
      <w:pPr>
        <w:pStyle w:val="ListBullet"/>
        <w:spacing w:after="60" w:line="324" w:lineRule="auto"/>
      </w:pPr>
      <w:r>
        <w:rPr>
          <w:rFonts w:ascii="宋体" w:hAnsi="宋体" w:eastAsia="宋体"/>
          <w:b/>
          <w:sz w:val="22"/>
        </w:rPr>
        <w:t>停药/调量沟通：</w:t>
      </w:r>
      <w:r>
        <w:rPr>
          <w:rFonts w:ascii="宋体" w:hAnsi="宋体" w:eastAsia="宋体"/>
          <w:b w:val="0"/>
          <w:sz w:val="22"/>
        </w:rPr>
        <w:t>停药、剂量调整的原因说明与受试者知情。</w:t>
      </w:r>
    </w:p>
    <w:p>
      <w:pPr>
        <w:pStyle w:val="ListBullet"/>
        <w:spacing w:after="60" w:line="324" w:lineRule="auto"/>
      </w:pPr>
      <w:r>
        <w:rPr>
          <w:rFonts w:ascii="宋体" w:hAnsi="宋体" w:eastAsia="宋体"/>
          <w:b/>
          <w:sz w:val="22"/>
        </w:rPr>
        <w:t>方案偏离说明：</w:t>
      </w:r>
      <w:r>
        <w:rPr>
          <w:rFonts w:ascii="宋体" w:hAnsi="宋体" w:eastAsia="宋体"/>
          <w:b w:val="0"/>
          <w:sz w:val="22"/>
        </w:rPr>
        <w:t>偏离方案情形对受试者安全/权益影响的告知。</w:t>
      </w:r>
    </w:p>
    <w:p>
      <w:pPr>
        <w:keepNext/>
        <w:spacing w:before="200" w:after="80"/>
      </w:pPr>
      <w:r>
        <w:rPr>
          <w:rFonts w:ascii="微软雅黑" w:hAnsi="微软雅黑" w:eastAsia="微软雅黑"/>
          <w:b/>
          <w:color w:val="1F4E79"/>
          <w:sz w:val="25"/>
        </w:rPr>
        <w:t>5 受试者权益与心理支持（Rights &amp; Psychosocial）</w:t>
      </w:r>
    </w:p>
    <w:p>
      <w:pPr>
        <w:pStyle w:val="ListBullet"/>
        <w:spacing w:after="60" w:line="324" w:lineRule="auto"/>
      </w:pPr>
      <w:r>
        <w:rPr>
          <w:rFonts w:ascii="宋体" w:hAnsi="宋体" w:eastAsia="宋体"/>
          <w:b/>
          <w:sz w:val="22"/>
        </w:rPr>
        <w:t>疑问解答/焦虑疏导：</w:t>
      </w:r>
      <w:r>
        <w:rPr>
          <w:rFonts w:ascii="宋体" w:hAnsi="宋体" w:eastAsia="宋体"/>
          <w:b w:val="0"/>
          <w:sz w:val="22"/>
        </w:rPr>
        <w:t>对试验风险、副作用、能否退出的担忧进行疏导。</w:t>
      </w:r>
    </w:p>
    <w:p>
      <w:pPr>
        <w:pStyle w:val="ListBullet"/>
        <w:spacing w:after="60" w:line="324" w:lineRule="auto"/>
      </w:pPr>
      <w:r>
        <w:rPr>
          <w:rFonts w:ascii="宋体" w:hAnsi="宋体" w:eastAsia="宋体"/>
          <w:b/>
          <w:sz w:val="22"/>
        </w:rPr>
        <w:t>退出流程沟通：</w:t>
      </w:r>
      <w:r>
        <w:rPr>
          <w:rFonts w:ascii="宋体" w:hAnsi="宋体" w:eastAsia="宋体"/>
          <w:b w:val="0"/>
          <w:sz w:val="22"/>
        </w:rPr>
        <w:t>尊重受试者个人权利，尽量了解退出理由（可无理由退出）。</w:t>
      </w:r>
    </w:p>
    <w:p>
      <w:pPr>
        <w:pStyle w:val="ListBullet"/>
        <w:spacing w:after="60" w:line="324" w:lineRule="auto"/>
      </w:pPr>
      <w:r>
        <w:rPr>
          <w:rFonts w:ascii="宋体" w:hAnsi="宋体" w:eastAsia="宋体"/>
          <w:b/>
          <w:sz w:val="22"/>
        </w:rPr>
        <w:t>投诉/诉求渠道：</w:t>
      </w:r>
      <w:r>
        <w:rPr>
          <w:rFonts w:ascii="宋体" w:hAnsi="宋体" w:eastAsia="宋体"/>
          <w:b w:val="0"/>
          <w:sz w:val="22"/>
        </w:rPr>
        <w:t>告知投诉与诉求渠道、研究者/伦理委员会联系方式。</w:t>
      </w:r>
    </w:p>
    <w:p>
      <w:pPr>
        <w:pStyle w:val="ListBullet"/>
        <w:spacing w:after="60" w:line="324" w:lineRule="auto"/>
      </w:pPr>
      <w:r>
        <w:rPr>
          <w:rFonts w:ascii="宋体" w:hAnsi="宋体" w:eastAsia="宋体"/>
          <w:b/>
          <w:sz w:val="22"/>
        </w:rPr>
        <w:t>新信息再知情：</w:t>
      </w:r>
      <w:r>
        <w:rPr>
          <w:rFonts w:ascii="宋体" w:hAnsi="宋体" w:eastAsia="宋体"/>
          <w:b w:val="0"/>
          <w:sz w:val="22"/>
        </w:rPr>
        <w:t>出现新安全性信息或流程变更时再次告知（再知情）。</w:t>
      </w:r>
    </w:p>
    <w:p>
      <w:pPr>
        <w:keepNext/>
        <w:spacing w:before="200" w:after="80"/>
      </w:pPr>
      <w:r>
        <w:rPr>
          <w:rFonts w:ascii="微软雅黑" w:hAnsi="微软雅黑" w:eastAsia="微软雅黑"/>
          <w:b/>
          <w:color w:val="1F4E79"/>
          <w:sz w:val="25"/>
        </w:rPr>
        <w:t>6 出组／结束期（End-of-study）</w:t>
      </w:r>
    </w:p>
    <w:p>
      <w:pPr>
        <w:pStyle w:val="ListBullet"/>
        <w:spacing w:after="60" w:line="324" w:lineRule="auto"/>
      </w:pPr>
      <w:r>
        <w:rPr>
          <w:rFonts w:ascii="宋体" w:hAnsi="宋体" w:eastAsia="宋体"/>
          <w:b/>
          <w:sz w:val="22"/>
        </w:rPr>
        <w:t>试验结束告知：</w:t>
      </w:r>
      <w:r>
        <w:rPr>
          <w:rFonts w:ascii="宋体" w:hAnsi="宋体" w:eastAsia="宋体"/>
          <w:b w:val="0"/>
          <w:sz w:val="22"/>
        </w:rPr>
        <w:t>试验结束、已进入/退出相应组别的结果告知。</w:t>
      </w:r>
    </w:p>
    <w:p>
      <w:pPr>
        <w:pStyle w:val="ListBullet"/>
        <w:spacing w:after="60" w:line="324" w:lineRule="auto"/>
      </w:pPr>
      <w:r>
        <w:rPr>
          <w:rFonts w:ascii="宋体" w:hAnsi="宋体" w:eastAsia="宋体"/>
          <w:b/>
          <w:sz w:val="22"/>
        </w:rPr>
        <w:t>后续治疗衔接：</w:t>
      </w:r>
      <w:r>
        <w:rPr>
          <w:rFonts w:ascii="宋体" w:hAnsi="宋体" w:eastAsia="宋体"/>
          <w:b w:val="0"/>
          <w:sz w:val="22"/>
        </w:rPr>
        <w:t>后续治疗、转归、复查衔接安排。</w:t>
      </w:r>
    </w:p>
    <w:p>
      <w:pPr>
        <w:pStyle w:val="ListBullet"/>
        <w:spacing w:after="60" w:line="324" w:lineRule="auto"/>
      </w:pPr>
      <w:r>
        <w:rPr>
          <w:rFonts w:ascii="宋体" w:hAnsi="宋体" w:eastAsia="宋体"/>
          <w:b/>
          <w:sz w:val="22"/>
        </w:rPr>
        <w:t>终点指标确认：</w:t>
      </w:r>
      <w:r>
        <w:rPr>
          <w:rFonts w:ascii="宋体" w:hAnsi="宋体" w:eastAsia="宋体"/>
          <w:b w:val="0"/>
          <w:sz w:val="22"/>
        </w:rPr>
        <w:t>终点指标、收尾访视的确认对话。</w:t>
      </w:r>
    </w:p>
    <w:p>
      <w:pPr>
        <w:keepNext/>
        <w:spacing w:before="200" w:after="80"/>
      </w:pPr>
      <w:r>
        <w:rPr>
          <w:rFonts w:ascii="微软雅黑" w:hAnsi="微软雅黑" w:eastAsia="微软雅黑"/>
          <w:b/>
          <w:color w:val="1F4E79"/>
          <w:sz w:val="25"/>
        </w:rPr>
        <w:t>7 拓展场景（迭代可用，本 MVP 暂不做）</w:t>
      </w:r>
    </w:p>
    <w:p>
      <w:pPr>
        <w:pStyle w:val="ListBullet"/>
        <w:spacing w:after="60" w:line="324" w:lineRule="auto"/>
      </w:pPr>
      <w:r>
        <w:rPr>
          <w:rFonts w:ascii="宋体" w:hAnsi="宋体" w:eastAsia="宋体"/>
          <w:b/>
          <w:sz w:val="22"/>
        </w:rPr>
        <w:t>依从性训练：</w:t>
      </w:r>
      <w:r>
        <w:rPr>
          <w:rFonts w:ascii="宋体" w:hAnsi="宋体" w:eastAsia="宋体"/>
          <w:b w:val="0"/>
          <w:sz w:val="22"/>
        </w:rPr>
        <w:t>随访依从性沟通、用药依从性训练（对应本项目后续迭代方向）。</w:t>
      </w:r>
    </w:p>
    <w:p>
      <w:pPr>
        <w:spacing w:line="336" w:lineRule="auto" w:before="160" w:after="60"/>
      </w:pPr>
      <w:r>
        <w:rPr>
          <w:rFonts w:ascii="宋体" w:hAnsi="宋体" w:eastAsia="宋体"/>
          <w:b/>
          <w:color w:val="1F4E79"/>
          <w:sz w:val="22"/>
        </w:rPr>
        <w:t>附：对话板块 ↔ 本项目 AI-SP 评分维度对应关系</w:t>
      </w:r>
    </w:p>
    <w:tbl>
      <w:tblPr>
        <w:tblStyle w:val="TableGrid"/>
        <w:tblW w:type="auto" w:w="0"/>
        <w:jc w:val="center"/>
        <w:tblLook w:firstColumn="1" w:firstRow="1" w:lastColumn="0" w:lastRow="0" w:noHBand="0" w:noVBand="1" w:val="04A0"/>
      </w:tblPr>
      <w:tblGrid>
        <w:gridCol w:w="2880"/>
        <w:gridCol w:w="2880"/>
        <w:gridCol w:w="2880"/>
      </w:tblGrid>
      <w:tr>
        <w:tc>
          <w:tcPr>
            <w:tcW w:type="dxa" w:w="2608"/>
            <w:shd w:val="clear" w:color="auto" w:fill="1F4E79"/>
          </w:tcPr>
          <w:p>
            <w:r/>
            <w:r>
              <w:rPr>
                <w:rFonts w:ascii="微软雅黑" w:hAnsi="微软雅黑" w:eastAsia="微软雅黑"/>
                <w:b/>
                <w:color w:val="FFFFFF"/>
                <w:sz w:val="21"/>
              </w:rPr>
              <w:t>对话板块（大类）</w:t>
            </w:r>
          </w:p>
        </w:tc>
        <w:tc>
          <w:tcPr>
            <w:tcW w:type="dxa" w:w="2268"/>
            <w:shd w:val="clear" w:color="auto" w:fill="1F4E79"/>
          </w:tcPr>
          <w:p>
            <w:r/>
            <w:r>
              <w:rPr>
                <w:rFonts w:ascii="微软雅黑" w:hAnsi="微软雅黑" w:eastAsia="微软雅黑"/>
                <w:b/>
                <w:color w:val="FFFFFF"/>
                <w:sz w:val="21"/>
              </w:rPr>
              <w:t>对应评分维度</w:t>
            </w:r>
          </w:p>
        </w:tc>
        <w:tc>
          <w:tcPr>
            <w:tcW w:type="dxa" w:w="3969"/>
            <w:shd w:val="clear" w:color="auto" w:fill="1F4E79"/>
          </w:tcPr>
          <w:p>
            <w:r/>
            <w:r>
              <w:rPr>
                <w:rFonts w:ascii="微软雅黑" w:hAnsi="微软雅黑" w:eastAsia="微软雅黑"/>
                <w:b/>
                <w:color w:val="FFFFFF"/>
                <w:sz w:val="21"/>
              </w:rPr>
              <w:t>典型考核条目</w:t>
            </w:r>
          </w:p>
        </w:tc>
      </w:tr>
      <w:tr>
        <w:tc>
          <w:tcPr>
            <w:tcW w:type="dxa" w:w="2608"/>
          </w:tcPr>
          <w:p>
            <w:r/>
            <w:r>
              <w:rPr>
                <w:rFonts w:ascii="宋体" w:hAnsi="宋体" w:eastAsia="宋体"/>
                <w:b w:val="0"/>
                <w:sz w:val="20"/>
              </w:rPr>
              <w:t>1 入组前/筛选期</w:t>
            </w:r>
          </w:p>
        </w:tc>
        <w:tc>
          <w:tcPr>
            <w:tcW w:type="dxa" w:w="2268"/>
          </w:tcPr>
          <w:p>
            <w:r/>
            <w:r>
              <w:rPr>
                <w:rFonts w:ascii="宋体" w:hAnsi="宋体" w:eastAsia="宋体"/>
                <w:b w:val="0"/>
                <w:sz w:val="20"/>
              </w:rPr>
              <w:t>A 知情告知（50分）</w:t>
            </w:r>
          </w:p>
        </w:tc>
        <w:tc>
          <w:tcPr>
            <w:tcW w:type="dxa" w:w="3969"/>
          </w:tcPr>
          <w:p>
            <w:r/>
            <w:r>
              <w:rPr>
                <w:rFonts w:ascii="宋体" w:hAnsi="宋体" w:eastAsia="宋体"/>
                <w:b w:val="0"/>
                <w:sz w:val="20"/>
              </w:rPr>
              <w:t>A1自愿·A2退出权·A3风险获益·A4获益·A5保密</w:t>
            </w:r>
          </w:p>
        </w:tc>
      </w:tr>
      <w:tr>
        <w:tc>
          <w:tcPr>
            <w:tcW w:type="dxa" w:w="2608"/>
          </w:tcPr>
          <w:p>
            <w:r/>
            <w:r>
              <w:rPr>
                <w:rFonts w:ascii="宋体" w:hAnsi="宋体" w:eastAsia="宋体"/>
                <w:b w:val="0"/>
                <w:sz w:val="20"/>
              </w:rPr>
              <w:t>2 基线评估/入组期</w:t>
            </w:r>
          </w:p>
        </w:tc>
        <w:tc>
          <w:tcPr>
            <w:tcW w:type="dxa" w:w="2268"/>
          </w:tcPr>
          <w:p>
            <w:r/>
            <w:r>
              <w:rPr>
                <w:rFonts w:ascii="宋体" w:hAnsi="宋体" w:eastAsia="宋体"/>
                <w:b w:val="0"/>
                <w:sz w:val="20"/>
              </w:rPr>
              <w:t>B 问诊采集（50分）</w:t>
            </w:r>
          </w:p>
        </w:tc>
        <w:tc>
          <w:tcPr>
            <w:tcW w:type="dxa" w:w="3969"/>
          </w:tcPr>
          <w:p>
            <w:r/>
            <w:r>
              <w:rPr>
                <w:rFonts w:ascii="宋体" w:hAnsi="宋体" w:eastAsia="宋体"/>
                <w:b w:val="0"/>
                <w:sz w:val="20"/>
              </w:rPr>
              <w:t>B1头痛·B2用药史·B3其他不适·B4过敏史</w:t>
            </w:r>
          </w:p>
        </w:tc>
      </w:tr>
      <w:tr>
        <w:tc>
          <w:tcPr>
            <w:tcW w:type="dxa" w:w="2608"/>
          </w:tcPr>
          <w:p>
            <w:r/>
            <w:r>
              <w:rPr>
                <w:rFonts w:ascii="宋体" w:hAnsi="宋体" w:eastAsia="宋体"/>
                <w:b w:val="0"/>
                <w:sz w:val="20"/>
              </w:rPr>
              <w:t>3 治疗/随访期</w:t>
            </w:r>
          </w:p>
        </w:tc>
        <w:tc>
          <w:tcPr>
            <w:tcW w:type="dxa" w:w="2268"/>
          </w:tcPr>
          <w:p>
            <w:r/>
            <w:r>
              <w:rPr>
                <w:rFonts w:ascii="宋体" w:hAnsi="宋体" w:eastAsia="宋体"/>
                <w:b w:val="0"/>
                <w:sz w:val="20"/>
              </w:rPr>
              <w:t>A+B 综合</w:t>
            </w:r>
          </w:p>
        </w:tc>
        <w:tc>
          <w:tcPr>
            <w:tcW w:type="dxa" w:w="3969"/>
          </w:tcPr>
          <w:p>
            <w:r/>
            <w:r>
              <w:rPr>
                <w:rFonts w:ascii="宋体" w:hAnsi="宋体" w:eastAsia="宋体"/>
                <w:b w:val="0"/>
                <w:sz w:val="20"/>
              </w:rPr>
              <w:t>用药指导、AE汇报、随访依从</w:t>
            </w:r>
          </w:p>
        </w:tc>
      </w:tr>
      <w:tr>
        <w:tc>
          <w:tcPr>
            <w:tcW w:type="dxa" w:w="2608"/>
          </w:tcPr>
          <w:p>
            <w:r/>
            <w:r>
              <w:rPr>
                <w:rFonts w:ascii="宋体" w:hAnsi="宋体" w:eastAsia="宋体"/>
                <w:b w:val="0"/>
                <w:sz w:val="20"/>
              </w:rPr>
              <w:t>4–6 安全/权益/出组</w:t>
            </w:r>
          </w:p>
        </w:tc>
        <w:tc>
          <w:tcPr>
            <w:tcW w:type="dxa" w:w="2268"/>
          </w:tcPr>
          <w:p>
            <w:r/>
            <w:r>
              <w:rPr>
                <w:rFonts w:ascii="宋体" w:hAnsi="宋体" w:eastAsia="宋体"/>
                <w:b w:val="0"/>
                <w:sz w:val="20"/>
              </w:rPr>
              <w:t>A 知情告知延伸</w:t>
            </w:r>
          </w:p>
        </w:tc>
        <w:tc>
          <w:tcPr>
            <w:tcW w:type="dxa" w:w="3969"/>
          </w:tcPr>
          <w:p>
            <w:r/>
            <w:r>
              <w:rPr>
                <w:rFonts w:ascii="宋体" w:hAnsi="宋体" w:eastAsia="宋体"/>
                <w:b w:val="0"/>
                <w:sz w:val="20"/>
              </w:rPr>
              <w:t>SAE告知、退出沟通、再知情、出组衔接</w:t>
            </w:r>
          </w:p>
        </w:tc>
      </w:tr>
    </w:tbl>
    <w:p>
      <w:pPr>
        <w:keepNext/>
        <w:spacing w:before="320" w:after="160"/>
      </w:pPr>
      <w:r>
        <w:rPr>
          <w:rFonts w:ascii="微软雅黑" w:hAnsi="微软雅黑" w:eastAsia="微软雅黑"/>
          <w:b/>
          <w:color w:val="2E5C8A"/>
          <w:sz w:val="32"/>
        </w:rPr>
        <w:t>二、参照文献、通知与法规（原文摘录＋官方链接）</w:t>
      </w:r>
    </w:p>
    <w:p>
      <w:pPr>
        <w:spacing w:line="336" w:lineRule="auto" w:before="0" w:after="120"/>
      </w:pPr>
      <w:r>
        <w:rPr>
          <w:rFonts w:ascii="宋体" w:hAnsi="宋体" w:eastAsia="宋体"/>
          <w:b w:val="0"/>
          <w:sz w:val="22"/>
        </w:rPr>
        <w:t>以下按「法规/规范 → 案例/行业文章」排列。每条均给出发布主体、文号/日期、关键原文摘录与官方链接（即原件获取地址）。</w:t>
      </w:r>
    </w:p>
    <w:p>
      <w:pPr>
        <w:keepNext/>
        <w:spacing w:before="200" w:after="80"/>
      </w:pPr>
      <w:r>
        <w:rPr>
          <w:rFonts w:ascii="微软雅黑" w:hAnsi="微软雅黑" w:eastAsia="微软雅黑"/>
          <w:b/>
          <w:color w:val="1F4E79"/>
          <w:sz w:val="25"/>
        </w:rPr>
        <w:t>2.1 法规与技术规范</w:t>
      </w:r>
    </w:p>
    <w:p>
      <w:pPr>
        <w:spacing w:line="336" w:lineRule="auto" w:before="0" w:after="60"/>
      </w:pPr>
      <w:r>
        <w:rPr>
          <w:rFonts w:ascii="宋体" w:hAnsi="宋体" w:eastAsia="宋体"/>
          <w:b/>
          <w:color w:val="C0392B"/>
          <w:sz w:val="22"/>
        </w:rPr>
        <w:t>①《药物临床试验质量管理规范》（NMPA/国家卫健委 2020年第57号公告，2020-07-01施行）</w:t>
      </w:r>
    </w:p>
    <w:tbl>
      <w:tblPr>
        <w:tblW w:type="auto" w:w="0"/>
        <w:jc w:val="center"/>
        <w:tblLook w:firstColumn="1" w:firstRow="1" w:lastColumn="0" w:lastRow="0" w:noHBand="0" w:noVBand="1" w:val="04A0"/>
      </w:tblPr>
      <w:tblGrid>
        <w:gridCol w:w="8640"/>
      </w:tblGrid>
      <w:tr>
        <w:tc>
          <w:tcPr>
            <w:tcW w:type="dxa" w:w="8640"/>
            <w:shd w:val="clear" w:color="auto" w:fill="F2F5F9"/>
          </w:tcPr>
          <w:p>
            <w:r/>
            <w:r>
              <w:rPr>
                <w:rFonts w:ascii="宋体" w:hAnsi="宋体" w:eastAsia="宋体"/>
                <w:b w:val="0"/>
                <w:sz w:val="20"/>
              </w:rPr>
              <w:t>第十四条（研究者向受试者说明详细情况）原文要点：</w:t>
              <w:br/>
              <w:t>（一）受试者参加试验应是自愿的，且有权在试验任何阶段随时退出而不会遭歧视或报复，医疗待遇与权益不受影响；</w:t>
              <w:br/>
              <w:t>（二）试验及个人资料均属保密，必要时监管/伦理/申办者可依规查阅；</w:t>
              <w:br/>
              <w:t>（三）试验目的、过程与期限、检查操作、预期可能的受益和风险，及可能被分配到不同组别；</w:t>
              <w:br/>
              <w:t>（四）给受试者充分时间考虑是否参加，知情同意过程应采用受试者能理解的语言和文字；</w:t>
              <w:br/>
              <w:t>（五）如发生与试验相关的损害，受试者可获得治疗和相应补偿。</w:t>
              <w:br/>
              <w:t>附件（知情同意书应包含内容，核心条目）：试验概况、目的、随机分组可能性、试验步骤/创伤性操作、受试者义务、试验性内容、风险或不便、预期获益及不能获益的可能、其他可选治疗、损害补偿、参加补偿、预期花费、自愿参加及随时退出、监管/伦理查阅、身份保密、新信息及时告知、联系人与联系方式等。</w:t>
            </w:r>
          </w:p>
        </w:tc>
      </w:tr>
    </w:tbl>
    <w:p>
      <w:pPr>
        <w:spacing w:line="336" w:lineRule="auto" w:before="40" w:after="120"/>
      </w:pPr>
      <w:r>
        <w:rPr>
          <w:rFonts w:ascii="宋体" w:hAnsi="宋体" w:eastAsia="宋体"/>
          <w:b w:val="0"/>
          <w:color w:val="666666"/>
          <w:sz w:val="19"/>
        </w:rPr>
        <w:t>官方链接（原件）：中国政府网公报 https://www.gov.cn/gongbao/content/2020/content_5525106.htm</w:t>
      </w:r>
    </w:p>
    <w:p>
      <w:pPr>
        <w:spacing w:line="336" w:lineRule="auto" w:before="0" w:after="60"/>
      </w:pPr>
      <w:r>
        <w:rPr>
          <w:rFonts w:ascii="宋体" w:hAnsi="宋体" w:eastAsia="宋体"/>
          <w:b/>
          <w:color w:val="C0392B"/>
          <w:sz w:val="22"/>
        </w:rPr>
        <w:t>② ICH E6(R3) Good Clinical Practice（ICH 2026 Step 4 最终整合版）</w:t>
      </w:r>
    </w:p>
    <w:tbl>
      <w:tblPr>
        <w:tblW w:type="auto" w:w="0"/>
        <w:jc w:val="center"/>
        <w:tblLook w:firstColumn="1" w:firstRow="1" w:lastColumn="0" w:lastRow="0" w:noHBand="0" w:noVBand="1" w:val="04A0"/>
      </w:tblPr>
      <w:tblGrid>
        <w:gridCol w:w="8640"/>
      </w:tblGrid>
      <w:tr>
        <w:tc>
          <w:tcPr>
            <w:tcW w:type="dxa" w:w="8640"/>
            <w:shd w:val="clear" w:color="auto" w:fill="EEF3FA"/>
          </w:tcPr>
          <w:p>
            <w:r/>
            <w:r>
              <w:rPr>
                <w:rFonts w:ascii="宋体" w:hAnsi="宋体" w:eastAsia="宋体"/>
                <w:b w:val="0"/>
                <w:sz w:val="20"/>
              </w:rPr>
              <w:t>Principle 1 – Ethical Principles：Clinical trials should be conducted in accordance with the ethical principles that have their origin in the Declaration of Helsinki… The rights, safety and well-being of the participants are the most important considerations and should prevail over interests of science and society.</w:t>
              <w:br/>
              <w:t>Principle 2 – Informed Consent：Clinical trial participation should be voluntary and based on a consent process that ensures participants are well-informed. Freely given informed consent should be obtained and documented from every participant prior to clinical trial participation; the information provided should be clear and concise so as to be understandable.</w:t>
            </w:r>
          </w:p>
        </w:tc>
      </w:tr>
    </w:tbl>
    <w:p>
      <w:pPr>
        <w:spacing w:line="336" w:lineRule="auto" w:before="40" w:after="120"/>
      </w:pPr>
      <w:r>
        <w:rPr>
          <w:rFonts w:ascii="宋体" w:hAnsi="宋体" w:eastAsia="宋体"/>
          <w:b w:val="0"/>
          <w:color w:val="666666"/>
          <w:sz w:val="19"/>
        </w:rPr>
        <w:t>官方链接（原件）：https://database.ich.org/sites/default/files/ICH%20E6(R3)_Step4_FinalConsolidatedGuideline_2026_0616_.pdf</w:t>
      </w:r>
    </w:p>
    <w:p>
      <w:pPr>
        <w:spacing w:line="336" w:lineRule="auto" w:before="0" w:after="60"/>
      </w:pPr>
      <w:r>
        <w:rPr>
          <w:rFonts w:ascii="宋体" w:hAnsi="宋体" w:eastAsia="宋体"/>
          <w:b/>
          <w:color w:val="C0392B"/>
          <w:sz w:val="22"/>
        </w:rPr>
        <w:t>③《涉及人的生命科学和医学研究伦理审查办法》（国卫科教发〔2023〕4号，2023-02-18）</w:t>
      </w:r>
    </w:p>
    <w:tbl>
      <w:tblPr>
        <w:tblW w:type="auto" w:w="0"/>
        <w:jc w:val="center"/>
        <w:tblLook w:firstColumn="1" w:firstRow="1" w:lastColumn="0" w:lastRow="0" w:noHBand="0" w:noVBand="1" w:val="04A0"/>
      </w:tblPr>
      <w:tblGrid>
        <w:gridCol w:w="8640"/>
      </w:tblGrid>
      <w:tr>
        <w:tc>
          <w:tcPr>
            <w:tcW w:type="dxa" w:w="8640"/>
            <w:shd w:val="clear" w:color="auto" w:fill="F2F5F9"/>
          </w:tcPr>
          <w:p>
            <w:r/>
            <w:r>
              <w:rPr>
                <w:rFonts w:ascii="宋体" w:hAnsi="宋体" w:eastAsia="宋体"/>
                <w:b w:val="0"/>
                <w:sz w:val="20"/>
              </w:rPr>
              <w:t>第十七条 基本要求：</w:t>
              <w:br/>
              <w:t>（一）控制风险——研究的科学和社会利益不得超越对研究参与者人身安全与健康权益的考虑；</w:t>
              <w:br/>
              <w:t>（二）知情同意——严格履行知情同意程序，不允许欺骗、胁迫，允许研究参与者在任何阶段无条件退出；</w:t>
              <w:br/>
              <w:t>（三）公平公正——公平合理选择研究参与者；</w:t>
              <w:br/>
              <w:t>（四）免费和补偿、赔偿——因参与研究支出的合理费用应予补偿，受研究相关损害应得到及时免费治疗并依约补偿/赔偿；</w:t>
              <w:br/>
              <w:t>（五）保护隐私权及个人信息；</w:t>
              <w:br/>
              <w:t>（六）特殊保护——对儿童、孕产妇、老年人、智力障碍者等予以特别保护。</w:t>
              <w:br/>
              <w:t>第四章 知情同意：研究者应获得自愿签署的知情同意书，给予充分时间理解，逐项说明。</w:t>
            </w:r>
          </w:p>
        </w:tc>
      </w:tr>
    </w:tbl>
    <w:p>
      <w:pPr>
        <w:spacing w:line="336" w:lineRule="auto" w:before="40" w:after="120"/>
      </w:pPr>
      <w:r>
        <w:rPr>
          <w:rFonts w:ascii="宋体" w:hAnsi="宋体" w:eastAsia="宋体"/>
          <w:b w:val="0"/>
          <w:color w:val="666666"/>
          <w:sz w:val="19"/>
        </w:rPr>
        <w:t>官方链接（原件）：https://www.gov.cn/zhengce/zhengceku/2023-02/28/content_5743658.htm</w:t>
      </w:r>
    </w:p>
    <w:p>
      <w:pPr>
        <w:spacing w:line="336" w:lineRule="auto" w:before="0" w:after="60"/>
      </w:pPr>
      <w:r>
        <w:rPr>
          <w:rFonts w:ascii="宋体" w:hAnsi="宋体" w:eastAsia="宋体"/>
          <w:b/>
          <w:color w:val="C0392B"/>
          <w:sz w:val="22"/>
        </w:rPr>
        <w:t>④《涉及人的生物医学研究伦理审查办法》（原国家卫健委 2016，仍被广泛引用）</w:t>
      </w:r>
    </w:p>
    <w:tbl>
      <w:tblPr>
        <w:tblW w:type="auto" w:w="0"/>
        <w:jc w:val="center"/>
        <w:tblLook w:firstColumn="1" w:firstRow="1" w:lastColumn="0" w:lastRow="0" w:noHBand="0" w:noVBand="1" w:val="04A0"/>
      </w:tblPr>
      <w:tblGrid>
        <w:gridCol w:w="8640"/>
      </w:tblGrid>
      <w:tr>
        <w:tc>
          <w:tcPr>
            <w:tcW w:type="dxa" w:w="8640"/>
            <w:shd w:val="clear" w:color="auto" w:fill="F2F5F9"/>
          </w:tcPr>
          <w:p>
            <w:r/>
            <w:r>
              <w:rPr>
                <w:rFonts w:ascii="宋体" w:hAnsi="宋体" w:eastAsia="宋体"/>
                <w:b w:val="0"/>
                <w:sz w:val="20"/>
              </w:rPr>
              <w:t>第三十三条–第三十五条：研究者应获得受试者自愿签署的知情同意书；无/限制行为能力者由其监护人/法定代理人签署；知情同意书应以受试者能够理解的语言文字表达。</w:t>
            </w:r>
          </w:p>
        </w:tc>
      </w:tr>
    </w:tbl>
    <w:p>
      <w:pPr>
        <w:spacing w:line="336" w:lineRule="auto" w:before="40" w:after="120"/>
      </w:pPr>
      <w:r>
        <w:rPr>
          <w:rFonts w:ascii="宋体" w:hAnsi="宋体" w:eastAsia="宋体"/>
          <w:b w:val="0"/>
          <w:color w:val="666666"/>
          <w:sz w:val="19"/>
        </w:rPr>
        <w:t>官方链接（原件）：https://www.nhc.gov.cn/wjw/c100174/201610/b6a9508b727d47babce2a0855d274a0c.shtml</w:t>
      </w:r>
    </w:p>
    <w:p>
      <w:pPr>
        <w:spacing w:line="336" w:lineRule="auto" w:before="0" w:after="60"/>
      </w:pPr>
      <w:r>
        <w:rPr>
          <w:rFonts w:ascii="宋体" w:hAnsi="宋体" w:eastAsia="宋体"/>
          <w:b/>
          <w:color w:val="C0392B"/>
          <w:sz w:val="22"/>
        </w:rPr>
        <w:t>⑤ 世界医学大会《赫尔辛基宣言》（伦理基石）</w:t>
      </w:r>
    </w:p>
    <w:tbl>
      <w:tblPr>
        <w:tblW w:type="auto" w:w="0"/>
        <w:jc w:val="center"/>
        <w:tblLook w:firstColumn="1" w:firstRow="1" w:lastColumn="0" w:lastRow="0" w:noHBand="0" w:noVBand="1" w:val="04A0"/>
      </w:tblPr>
      <w:tblGrid>
        <w:gridCol w:w="8640"/>
      </w:tblGrid>
      <w:tr>
        <w:tc>
          <w:tcPr>
            <w:tcW w:type="dxa" w:w="8640"/>
            <w:shd w:val="clear" w:color="auto" w:fill="F2F5F9"/>
          </w:tcPr>
          <w:p>
            <w:r/>
            <w:r>
              <w:rPr>
                <w:rFonts w:ascii="宋体" w:hAnsi="宋体" w:eastAsia="宋体"/>
                <w:b w:val="0"/>
                <w:sz w:val="20"/>
              </w:rPr>
              <w:t>受试者权益、安全和福祉是首要考虑，优先于科学和社会获益；知情同意须自愿、充分告知、可理解，弱势群体须特别保护。是我国 GCP 与伦理审查办法的上位伦理来源。</w:t>
            </w:r>
          </w:p>
        </w:tc>
      </w:tr>
    </w:tbl>
    <w:p>
      <w:pPr>
        <w:spacing w:line="336" w:lineRule="auto" w:before="40" w:after="120"/>
      </w:pPr>
      <w:r>
        <w:rPr>
          <w:rFonts w:ascii="宋体" w:hAnsi="宋体" w:eastAsia="宋体"/>
          <w:b w:val="0"/>
          <w:color w:val="666666"/>
          <w:sz w:val="19"/>
        </w:rPr>
        <w:t>说明：WMA 官网可获取最新中/英文本（https://www.wma.net/）。</w:t>
      </w:r>
    </w:p>
    <w:p>
      <w:pPr>
        <w:keepNext/>
        <w:spacing w:before="200" w:after="80"/>
      </w:pPr>
      <w:r>
        <w:rPr>
          <w:rFonts w:ascii="微软雅黑" w:hAnsi="微软雅黑" w:eastAsia="微软雅黑"/>
          <w:b/>
          <w:color w:val="1F4E79"/>
          <w:sz w:val="25"/>
        </w:rPr>
        <w:t>2.2 案例与行业实践文章</w:t>
      </w:r>
    </w:p>
    <w:p>
      <w:pPr>
        <w:pStyle w:val="ListBullet"/>
        <w:spacing w:after="60" w:line="324" w:lineRule="auto"/>
      </w:pPr>
      <w:r>
        <w:rPr>
          <w:rFonts w:ascii="宋体" w:hAnsi="宋体" w:eastAsia="宋体"/>
          <w:b/>
          <w:sz w:val="22"/>
        </w:rPr>
        <w:t>人卫临床助手《临床试验性检查和治疗的医患沟通案例》：</w:t>
      </w:r>
      <w:r>
        <w:rPr>
          <w:rFonts w:ascii="宋体" w:hAnsi="宋体" w:eastAsia="宋体"/>
          <w:b w:val="0"/>
          <w:sz w:val="22"/>
        </w:rPr>
        <w:t>以真实「银屑病临床试验入组」案例说明：仅让患者自读知情同意书、未用通俗语言讲解分组与退出权，导致受试者脱落；强调须通俗告知目的/过程/风险/分组/退出权并给足考虑时间。</w:t>
      </w:r>
    </w:p>
    <w:p>
      <w:pPr>
        <w:spacing w:line="336" w:lineRule="auto" w:before="0" w:after="120"/>
      </w:pPr>
      <w:r>
        <w:rPr>
          <w:rFonts w:ascii="宋体" w:hAnsi="宋体" w:eastAsia="宋体"/>
          <w:b w:val="0"/>
          <w:color w:val="666666"/>
          <w:sz w:val="19"/>
        </w:rPr>
        <w:t>链接：https://ccdas.pmphai.com/appyhgt/toPcDetail?sessionId=&amp;knowledgeLibPrefix=yhgt&amp;id=11866</w:t>
      </w:r>
    </w:p>
    <w:p>
      <w:pPr>
        <w:pStyle w:val="ListBullet"/>
        <w:spacing w:after="60" w:line="324" w:lineRule="auto"/>
      </w:pPr>
      <w:r>
        <w:rPr>
          <w:rFonts w:ascii="宋体" w:hAnsi="宋体" w:eastAsia="宋体"/>
          <w:b/>
          <w:sz w:val="22"/>
        </w:rPr>
        <w:t>《沟通技巧在受试者管理中的应用》（医药卫生报）：</w:t>
      </w:r>
      <w:r>
        <w:rPr>
          <w:rFonts w:ascii="宋体" w:hAnsi="宋体" w:eastAsia="宋体"/>
          <w:b w:val="0"/>
          <w:sz w:val="22"/>
        </w:rPr>
        <w:t>按试验前期/试验期/住院期划分沟通要点：真诚、尊重、同理心；根据年龄文化与职业选择称呼；介绍试验目的与过程、风险获益、受试者义务；耐心回复疑惑；关注需求并给予反馈；与家属充分沟通。</w:t>
      </w:r>
    </w:p>
    <w:p>
      <w:pPr>
        <w:spacing w:line="336" w:lineRule="auto" w:before="0" w:after="120"/>
      </w:pPr>
      <w:r>
        <w:rPr>
          <w:rFonts w:ascii="宋体" w:hAnsi="宋体" w:eastAsia="宋体"/>
          <w:b w:val="0"/>
          <w:color w:val="666666"/>
          <w:sz w:val="19"/>
        </w:rPr>
        <w:t>链接：https://www.yywsb.com/article/45241.html</w:t>
      </w:r>
    </w:p>
    <w:p>
      <w:pPr>
        <w:pStyle w:val="ListBullet"/>
        <w:spacing w:after="60" w:line="324" w:lineRule="auto"/>
      </w:pPr>
      <w:r>
        <w:rPr>
          <w:rFonts w:ascii="宋体" w:hAnsi="宋体" w:eastAsia="宋体"/>
          <w:b/>
          <w:sz w:val="22"/>
        </w:rPr>
        <w:t>中国人权网《我国人体临床试验受试者知情同意权的法律保护》：</w:t>
      </w:r>
      <w:r>
        <w:rPr>
          <w:rFonts w:ascii="宋体" w:hAnsi="宋体" w:eastAsia="宋体"/>
          <w:b w:val="0"/>
          <w:sz w:val="22"/>
        </w:rPr>
        <w:t>系统梳理我国受试者知情同意权法律保护，指出 GCP 2020 知情同意书内容最为全面（共20项要素），并强调告知义务贯穿试验前/中/后全过程。</w:t>
      </w:r>
    </w:p>
    <w:p>
      <w:pPr>
        <w:spacing w:line="336" w:lineRule="auto" w:before="0" w:after="120"/>
      </w:pPr>
      <w:r>
        <w:rPr>
          <w:rFonts w:ascii="宋体" w:hAnsi="宋体" w:eastAsia="宋体"/>
          <w:b w:val="0"/>
          <w:color w:val="666666"/>
          <w:sz w:val="19"/>
        </w:rPr>
        <w:t>链接：https://humanrights.cn/2022/06/20/4954a23c3ff511ee87f90c42a1073f92.html</w:t>
      </w:r>
    </w:p>
    <w:p>
      <w:pPr>
        <w:keepNext/>
        <w:spacing w:before="320" w:after="160"/>
      </w:pPr>
      <w:r>
        <w:rPr>
          <w:rFonts w:ascii="微软雅黑" w:hAnsi="微软雅黑" w:eastAsia="微软雅黑"/>
          <w:b/>
          <w:color w:val="2E5C8A"/>
          <w:sz w:val="32"/>
        </w:rPr>
        <w:t>三、临床实际中热度较高的评分标准／要点</w:t>
      </w:r>
    </w:p>
    <w:p>
      <w:pPr>
        <w:spacing w:line="336" w:lineRule="auto" w:before="0" w:after="120"/>
      </w:pPr>
      <w:r>
        <w:rPr>
          <w:rFonts w:ascii="宋体" w:hAnsi="宋体" w:eastAsia="宋体"/>
          <w:b w:val="0"/>
          <w:sz w:val="22"/>
        </w:rPr>
        <w:t>以下量表/标准在医学教育、临床试验质量管理和真实世界研究中被高频使用，可作为本项目评分量表设计的外部参照与扩展方向。</w:t>
      </w:r>
    </w:p>
    <w:p>
      <w:pPr>
        <w:spacing w:line="336" w:lineRule="auto" w:before="120" w:after="60"/>
      </w:pPr>
      <w:r>
        <w:rPr>
          <w:rFonts w:ascii="宋体" w:hAnsi="宋体" w:eastAsia="宋体"/>
          <w:b/>
          <w:color w:val="C0392B"/>
          <w:sz w:val="23"/>
        </w:rPr>
        <w:t>① SEGUE 量表（医患沟通技能评价量表）</w:t>
      </w:r>
    </w:p>
    <w:p>
      <w:pPr>
        <w:spacing w:line="336" w:lineRule="auto" w:before="0" w:after="60"/>
      </w:pPr>
      <w:r>
        <w:rPr>
          <w:rFonts w:ascii="宋体" w:hAnsi="宋体" w:eastAsia="宋体"/>
          <w:b w:val="0"/>
          <w:color w:val="666666"/>
          <w:sz w:val="20"/>
        </w:rPr>
        <w:t>来源：Makoul G. The SEGUE Framework. Patient Educ Couns 2001；2006 年中国医科大学引进并本土化，广泛用于医学生/住院医沟通考核。</w:t>
      </w:r>
    </w:p>
    <w:tbl>
      <w:tblPr>
        <w:tblW w:type="auto" w:w="0"/>
        <w:jc w:val="center"/>
        <w:tblLook w:firstColumn="1" w:firstRow="1" w:lastColumn="0" w:lastRow="0" w:noHBand="0" w:noVBand="1" w:val="04A0"/>
      </w:tblPr>
      <w:tblGrid>
        <w:gridCol w:w="8640"/>
      </w:tblGrid>
      <w:tr>
        <w:tc>
          <w:tcPr>
            <w:tcW w:type="dxa" w:w="8640"/>
            <w:shd w:val="clear" w:color="auto" w:fill="F7F7F7"/>
          </w:tcPr>
          <w:p>
            <w:r/>
            <w:r>
              <w:rPr>
                <w:rFonts w:ascii="宋体" w:hAnsi="宋体" w:eastAsia="宋体"/>
                <w:b w:val="0"/>
                <w:sz w:val="20"/>
              </w:rPr>
              <w:t>结构：25 个条目，5 个维度——准备(5分)、信息收集(10分)、信息给予(4分)、理解患者(4分)、结束(2分)，总分 0–25。</w:t>
              <w:br/>
              <w:t>计分：正面沟通条目出现 1 次即得分；负面沟通条目（如命令/诱导）出现 1 次即 0 分。</w:t>
              <w:br/>
              <w:t>热度：是目前最常用的医患沟通技能评价量表，信度约 0.90；直接对应本研究「沟通改进建议」维度（通俗/同理心/少用术语）。</w:t>
            </w:r>
          </w:p>
        </w:tc>
      </w:tr>
    </w:tbl>
    <w:p>
      <w:pPr>
        <w:spacing w:line="336" w:lineRule="auto" w:before="40" w:after="120"/>
      </w:pPr>
      <w:r>
        <w:rPr>
          <w:rFonts w:ascii="宋体" w:hAnsi="宋体" w:eastAsia="宋体"/>
          <w:b w:val="0"/>
          <w:color w:val="666666"/>
          <w:sz w:val="19"/>
        </w:rPr>
        <w:t>参考链接：https://usa50.southalabama.edu/colleges/com/gme/resources/interpersonal-and-communication-skills.pdf</w:t>
      </w:r>
    </w:p>
    <w:p>
      <w:pPr>
        <w:spacing w:line="336" w:lineRule="auto" w:before="120" w:after="60"/>
      </w:pPr>
      <w:r>
        <w:rPr>
          <w:rFonts w:ascii="宋体" w:hAnsi="宋体" w:eastAsia="宋体"/>
          <w:b/>
          <w:color w:val="C0392B"/>
          <w:sz w:val="23"/>
        </w:rPr>
        <w:t>② MMAS-8（Morisky 服药依从性量表，8 条目）</w:t>
      </w:r>
    </w:p>
    <w:p>
      <w:pPr>
        <w:spacing w:line="336" w:lineRule="auto" w:before="0" w:after="60"/>
      </w:pPr>
      <w:r>
        <w:rPr>
          <w:rFonts w:ascii="宋体" w:hAnsi="宋体" w:eastAsia="宋体"/>
          <w:b w:val="0"/>
          <w:color w:val="666666"/>
          <w:sz w:val="20"/>
        </w:rPr>
        <w:t>来源：Morisky DE et al. 2008，首先在高血压人群验证（α=0.83），后扩展至糖尿病、心血管、癫痫等多病种。</w:t>
      </w:r>
    </w:p>
    <w:tbl>
      <w:tblPr>
        <w:tblW w:type="auto" w:w="0"/>
        <w:jc w:val="center"/>
        <w:tblLook w:firstColumn="1" w:firstRow="1" w:lastColumn="0" w:lastRow="0" w:noHBand="0" w:noVBand="1" w:val="04A0"/>
      </w:tblPr>
      <w:tblGrid>
        <w:gridCol w:w="8640"/>
      </w:tblGrid>
      <w:tr>
        <w:tc>
          <w:tcPr>
            <w:tcW w:type="dxa" w:w="8640"/>
            <w:shd w:val="clear" w:color="auto" w:fill="F7F7F7"/>
          </w:tcPr>
          <w:p>
            <w:r/>
            <w:r>
              <w:rPr>
                <w:rFonts w:ascii="宋体" w:hAnsi="宋体" w:eastAsia="宋体"/>
                <w:b w:val="0"/>
                <w:sz w:val="20"/>
              </w:rPr>
              <w:t>结构：8 个条目（如是否忘记服药、是否因症状好转自行停药、出行是否忘带药等）。</w:t>
              <w:br/>
              <w:t>计分：条目 1–7「否」计 1 分、「是」0 分；第 8 题 Likert 5 级（从不1→一直0）。总分 0–8：≥8 依从性好，6–7 中等，&lt;6 差。</w:t>
              <w:br/>
              <w:t>热度：临床测量服药依从性最常用问卷，可支撑本项目后续「用药依从性沟通训练」场景的评分。</w:t>
            </w:r>
          </w:p>
        </w:tc>
      </w:tr>
    </w:tbl>
    <w:p>
      <w:pPr>
        <w:spacing w:line="336" w:lineRule="auto" w:before="40" w:after="120"/>
      </w:pPr>
      <w:r>
        <w:rPr>
          <w:rFonts w:ascii="宋体" w:hAnsi="宋体" w:eastAsia="宋体"/>
          <w:b w:val="0"/>
          <w:color w:val="666666"/>
          <w:sz w:val="19"/>
        </w:rPr>
        <w:t>参考链接：https://xldh.hmudq.edu.cn/fyycx/49261.jhtml</w:t>
      </w:r>
    </w:p>
    <w:p>
      <w:pPr>
        <w:spacing w:line="336" w:lineRule="auto" w:before="120" w:after="60"/>
      </w:pPr>
      <w:r>
        <w:rPr>
          <w:rFonts w:ascii="宋体" w:hAnsi="宋体" w:eastAsia="宋体"/>
          <w:b/>
          <w:color w:val="C0392B"/>
          <w:sz w:val="23"/>
        </w:rPr>
        <w:t>③ QuIC（Quality of Informed Consent，知情同意质量量表）</w:t>
      </w:r>
    </w:p>
    <w:p>
      <w:pPr>
        <w:spacing w:line="336" w:lineRule="auto" w:before="0" w:after="60"/>
      </w:pPr>
      <w:r>
        <w:rPr>
          <w:rFonts w:ascii="宋体" w:hAnsi="宋体" w:eastAsia="宋体"/>
          <w:b w:val="0"/>
          <w:color w:val="666666"/>
          <w:sz w:val="20"/>
        </w:rPr>
        <w:t>来源：Joffe ET al. 2001， originally for cancer trials；含实际理解(20项)+感知理解(12–14项)，对应知情同意 8 大基本要素。</w:t>
      </w:r>
    </w:p>
    <w:tbl>
      <w:tblPr>
        <w:tblW w:type="auto" w:w="0"/>
        <w:jc w:val="center"/>
        <w:tblLook w:firstColumn="1" w:firstRow="1" w:lastColumn="0" w:lastRow="0" w:noHBand="0" w:noVBand="1" w:val="04A0"/>
      </w:tblPr>
      <w:tblGrid>
        <w:gridCol w:w="8640"/>
      </w:tblGrid>
      <w:tr>
        <w:tc>
          <w:tcPr>
            <w:tcW w:type="dxa" w:w="8640"/>
            <w:shd w:val="clear" w:color="auto" w:fill="F7F7F7"/>
          </w:tcPr>
          <w:p>
            <w:r/>
            <w:r>
              <w:rPr>
                <w:rFonts w:ascii="宋体" w:hAnsi="宋体" w:eastAsia="宋体"/>
                <w:b w:val="0"/>
                <w:sz w:val="20"/>
              </w:rPr>
              <w:t>结构：A 部分测「实际理解」（Agree/Unsure/Disagree），B 部分测「感知理解」（1–5 Likert）。</w:t>
              <w:br/>
              <w:t>计分：正确项记 1、错误 0、不确定 0.5；百分制，分数越高理解度越好。8 要素含：自愿性、实验性质、目的、程序、风险、获益、替代治疗、保密/补偿/联系。</w:t>
              <w:br/>
              <w:t>热度：国际公认的知情同意质量测评工具，直接对应本研究「知情告知维度」的客观化评分思路。</w:t>
            </w:r>
          </w:p>
        </w:tc>
      </w:tr>
    </w:tbl>
    <w:p>
      <w:pPr>
        <w:spacing w:line="336" w:lineRule="auto" w:before="40" w:after="120"/>
      </w:pPr>
      <w:r>
        <w:rPr>
          <w:rFonts w:ascii="宋体" w:hAnsi="宋体" w:eastAsia="宋体"/>
          <w:b w:val="0"/>
          <w:color w:val="666666"/>
          <w:sz w:val="19"/>
        </w:rPr>
        <w:t>参考链接：https://pmc.ncbi.nlm.nih.gov/articles/PMC3205427/</w:t>
      </w:r>
    </w:p>
    <w:p>
      <w:pPr>
        <w:spacing w:line="336" w:lineRule="auto" w:before="120" w:after="60"/>
      </w:pPr>
      <w:r>
        <w:rPr>
          <w:rFonts w:ascii="宋体" w:hAnsi="宋体" w:eastAsia="宋体"/>
          <w:b/>
          <w:color w:val="C0392B"/>
          <w:sz w:val="23"/>
        </w:rPr>
        <w:t>④ 临床试验依从性综合评分（药片计数＋访视＋检查）</w:t>
      </w:r>
    </w:p>
    <w:p>
      <w:pPr>
        <w:spacing w:line="336" w:lineRule="auto" w:before="0" w:after="60"/>
      </w:pPr>
      <w:r>
        <w:rPr>
          <w:rFonts w:ascii="宋体" w:hAnsi="宋体" w:eastAsia="宋体"/>
          <w:b w:val="0"/>
          <w:color w:val="666666"/>
          <w:sz w:val="20"/>
        </w:rPr>
        <w:t>来源：GCP 依从性管理实践与多中心试验操作共识；非单一量表，而是复合评分法。</w:t>
      </w:r>
    </w:p>
    <w:tbl>
      <w:tblPr>
        <w:tblW w:type="auto" w:w="0"/>
        <w:jc w:val="center"/>
        <w:tblLook w:firstColumn="1" w:firstRow="1" w:lastColumn="0" w:lastRow="0" w:noHBand="0" w:noVBand="1" w:val="04A0"/>
      </w:tblPr>
      <w:tblGrid>
        <w:gridCol w:w="8640"/>
      </w:tblGrid>
      <w:tr>
        <w:tc>
          <w:tcPr>
            <w:tcW w:type="dxa" w:w="8640"/>
            <w:shd w:val="clear" w:color="auto" w:fill="F7F7F7"/>
          </w:tcPr>
          <w:p>
            <w:r/>
            <w:r>
              <w:rPr>
                <w:rFonts w:ascii="宋体" w:hAnsi="宋体" w:eastAsia="宋体"/>
                <w:b w:val="0"/>
                <w:sz w:val="20"/>
              </w:rPr>
              <w:t>结构：药物依从性(权重 50%) ＋ 访视依从性(30%) ＋ 检查完成度(20%)；总分 ≥80 判为依从性良好。</w:t>
              <w:br/>
              <w:t>药物依从性（药片计数法）：依从性% = (发放量−剩余量)/应服量 ×100%；通常以 80%–120% 为合格区间。</w:t>
              <w:br/>
              <w:t>访视依从性：访视准时率（窗口期±3天）、访视完成率。</w:t>
              <w:br/>
              <w:t>热度：业内对「不依从」的通用判定口径，可直接转化为随访/用药场景的达标评分。</w:t>
            </w:r>
          </w:p>
        </w:tc>
      </w:tr>
    </w:tbl>
    <w:p>
      <w:pPr>
        <w:spacing w:line="336" w:lineRule="auto" w:before="40" w:after="120"/>
      </w:pPr>
      <w:r>
        <w:rPr>
          <w:rFonts w:ascii="宋体" w:hAnsi="宋体" w:eastAsia="宋体"/>
          <w:b w:val="0"/>
          <w:color w:val="666666"/>
          <w:sz w:val="19"/>
        </w:rPr>
        <w:t>参考链接：（综合自临床试验依从性管理文献与 SOHU 临床试验百问系列）</w:t>
      </w:r>
    </w:p>
    <w:p>
      <w:pPr>
        <w:spacing w:line="336" w:lineRule="auto" w:before="120" w:after="60"/>
      </w:pPr>
      <w:r>
        <w:rPr>
          <w:rFonts w:ascii="宋体" w:hAnsi="宋体" w:eastAsia="宋体"/>
          <w:b/>
          <w:color w:val="C0392B"/>
          <w:sz w:val="23"/>
        </w:rPr>
        <w:t>⑤ 受试者满意度量表（医患沟通/药物沟通/隐私保护）</w:t>
      </w:r>
    </w:p>
    <w:p>
      <w:pPr>
        <w:spacing w:line="336" w:lineRule="auto" w:before="0" w:after="60"/>
      </w:pPr>
      <w:r>
        <w:rPr>
          <w:rFonts w:ascii="宋体" w:hAnsi="宋体" w:eastAsia="宋体"/>
          <w:b w:val="0"/>
          <w:color w:val="666666"/>
          <w:sz w:val="20"/>
        </w:rPr>
        <w:t>来源：2020 年国家公立医院满意度调查方法简化版（见《中国药房》药物治疗管理经济学评价文献）。</w:t>
      </w:r>
    </w:p>
    <w:tbl>
      <w:tblPr>
        <w:tblW w:type="auto" w:w="0"/>
        <w:jc w:val="center"/>
        <w:tblLook w:firstColumn="1" w:firstRow="1" w:lastColumn="0" w:lastRow="0" w:noHBand="0" w:noVBand="1" w:val="04A0"/>
      </w:tblPr>
      <w:tblGrid>
        <w:gridCol w:w="8640"/>
      </w:tblGrid>
      <w:tr>
        <w:tc>
          <w:tcPr>
            <w:tcW w:type="dxa" w:w="8640"/>
            <w:shd w:val="clear" w:color="auto" w:fill="F7F7F7"/>
          </w:tcPr>
          <w:p>
            <w:r/>
            <w:r>
              <w:rPr>
                <w:rFonts w:ascii="宋体" w:hAnsi="宋体" w:eastAsia="宋体"/>
                <w:b w:val="0"/>
                <w:sz w:val="20"/>
              </w:rPr>
              <w:t>结构：从医患沟通、药物沟通、隐私保护 3 个维度调查，按百分制换算（(X−Min)/(Max−Min)×100）。</w:t>
              <w:br/>
              <w:t>热度：真实世界中衡量研究者沟通质量与患者体验的高频指标，可作为本项目「沟通改进建议」的量化补充。</w:t>
            </w:r>
          </w:p>
        </w:tc>
      </w:tr>
    </w:tbl>
    <w:p>
      <w:pPr>
        <w:spacing w:line="336" w:lineRule="auto" w:before="40" w:after="120"/>
      </w:pPr>
      <w:r>
        <w:rPr>
          <w:rFonts w:ascii="宋体" w:hAnsi="宋体" w:eastAsia="宋体"/>
          <w:b w:val="0"/>
          <w:color w:val="666666"/>
          <w:sz w:val="19"/>
        </w:rPr>
        <w:t>参考链接：https://wap.china-pharmacy.com/attached/wenjian/14/202208/20220425_134112_99_903.pdf</w:t>
      </w:r>
    </w:p>
    <w:p>
      <w:pPr>
        <w:spacing w:line="336" w:lineRule="auto" w:before="120" w:after="60"/>
      </w:pPr>
      <w:r>
        <w:rPr>
          <w:rFonts w:ascii="宋体" w:hAnsi="宋体" w:eastAsia="宋体"/>
          <w:b/>
          <w:color w:val="C0392B"/>
          <w:sz w:val="23"/>
        </w:rPr>
        <w:t>⑥ 失访率／脱落率可接受标准</w:t>
      </w:r>
    </w:p>
    <w:p>
      <w:pPr>
        <w:spacing w:line="336" w:lineRule="auto" w:before="0" w:after="60"/>
      </w:pPr>
      <w:r>
        <w:rPr>
          <w:rFonts w:ascii="宋体" w:hAnsi="宋体" w:eastAsia="宋体"/>
          <w:b w:val="0"/>
          <w:color w:val="666666"/>
          <w:sz w:val="20"/>
        </w:rPr>
        <w:t>来源：临床科研方法学共识（中国医学论坛报等）。</w:t>
      </w:r>
    </w:p>
    <w:tbl>
      <w:tblPr>
        <w:tblW w:type="auto" w:w="0"/>
        <w:jc w:val="center"/>
        <w:tblLook w:firstColumn="1" w:firstRow="1" w:lastColumn="0" w:lastRow="0" w:noHBand="0" w:noVBand="1" w:val="04A0"/>
      </w:tblPr>
      <w:tblGrid>
        <w:gridCol w:w="8640"/>
      </w:tblGrid>
      <w:tr>
        <w:tc>
          <w:tcPr>
            <w:tcW w:type="dxa" w:w="8640"/>
            <w:shd w:val="clear" w:color="auto" w:fill="F7F7F7"/>
          </w:tcPr>
          <w:p>
            <w:r/>
            <w:r>
              <w:rPr>
                <w:rFonts w:ascii="宋体" w:hAnsi="宋体" w:eastAsia="宋体"/>
                <w:b w:val="0"/>
                <w:sz w:val="20"/>
              </w:rPr>
              <w:t>结构：非量表，属研究质量阈值。</w:t>
              <w:br/>
              <w:t>要点：失访率 &lt;5% 偏倚影响较小；&gt;20% 将严重影响有效性与真实性（部分期刊拒稿）；且需比较组间失访可比性。</w:t>
              <w:br/>
              <w:t>热度：评价随访沟通有效性的「金线」指标，可反向提示本项目应重点训练「随访提醒/退出沟通」话术。</w:t>
            </w:r>
          </w:p>
        </w:tc>
      </w:tr>
    </w:tbl>
    <w:p>
      <w:pPr>
        <w:spacing w:line="336" w:lineRule="auto" w:before="40" w:after="120"/>
      </w:pPr>
      <w:r>
        <w:rPr>
          <w:rFonts w:ascii="宋体" w:hAnsi="宋体" w:eastAsia="宋体"/>
          <w:b w:val="0"/>
          <w:color w:val="666666"/>
          <w:sz w:val="19"/>
        </w:rPr>
        <w:t>参考链接：https://www.cmtopdr.com/post/detail/8d0d33f3-4294-4742-815b-e5a2ee8a9958</w:t>
      </w:r>
    </w:p>
    <w:p>
      <w:pPr>
        <w:keepNext/>
        <w:spacing w:before="320" w:after="160"/>
      </w:pPr>
      <w:r>
        <w:rPr>
          <w:rFonts w:ascii="微软雅黑" w:hAnsi="微软雅黑" w:eastAsia="微软雅黑"/>
          <w:b/>
          <w:color w:val="2E5C8A"/>
          <w:sz w:val="32"/>
        </w:rPr>
        <w:t>四、对本项目（AI-SP 训练系统）的应用建议</w:t>
      </w:r>
    </w:p>
    <w:p>
      <w:pPr>
        <w:pStyle w:val="ListBullet"/>
        <w:spacing w:after="60" w:line="324" w:lineRule="auto"/>
      </w:pPr>
      <w:r>
        <w:rPr>
          <w:rFonts w:ascii="宋体" w:hAnsi="宋体" w:eastAsia="宋体"/>
          <w:b/>
          <w:sz w:val="22"/>
        </w:rPr>
        <w:t>板块→评分映射：</w:t>
      </w:r>
      <w:r>
        <w:rPr>
          <w:rFonts w:ascii="宋体" w:hAnsi="宋体" w:eastAsia="宋体"/>
          <w:b w:val="0"/>
          <w:sz w:val="22"/>
        </w:rPr>
        <w:t>一大类「入组前/筛选期」对话直接对应评分量表 A 维度（知情告知），「基线评估」对应 B 维度（问诊采集），可在病例事实库中固化这些板块的「必谈要点」。</w:t>
      </w:r>
    </w:p>
    <w:p>
      <w:pPr>
        <w:pStyle w:val="ListBullet"/>
        <w:spacing w:after="60" w:line="324" w:lineRule="auto"/>
      </w:pPr>
      <w:r>
        <w:rPr>
          <w:rFonts w:ascii="宋体" w:hAnsi="宋体" w:eastAsia="宋体"/>
          <w:b/>
          <w:sz w:val="22"/>
        </w:rPr>
        <w:t>评分升级：</w:t>
      </w:r>
      <w:r>
        <w:rPr>
          <w:rFonts w:ascii="宋体" w:hAnsi="宋体" w:eastAsia="宋体"/>
          <w:b w:val="0"/>
          <w:sz w:val="22"/>
        </w:rPr>
        <w:t>现行 A/B 双维度偏「是否说到」，可引入 SEGUE 的「信息给予/理解患者」维度补强「怎么说得好」（通俗、同理心、少用术语），使沟通改进建议更可量化。</w:t>
      </w:r>
    </w:p>
    <w:p>
      <w:pPr>
        <w:pStyle w:val="ListBullet"/>
        <w:spacing w:after="60" w:line="324" w:lineRule="auto"/>
      </w:pPr>
      <w:r>
        <w:rPr>
          <w:rFonts w:ascii="宋体" w:hAnsi="宋体" w:eastAsia="宋体"/>
          <w:b/>
          <w:sz w:val="22"/>
        </w:rPr>
        <w:t>迭代衔接：</w:t>
      </w:r>
      <w:r>
        <w:rPr>
          <w:rFonts w:ascii="宋体" w:hAnsi="宋体" w:eastAsia="宋体"/>
          <w:b w:val="0"/>
          <w:sz w:val="22"/>
        </w:rPr>
        <w:t>将 QuIC 的「8 大知情要素」作为 A 维度条目的细化核查点；将 MMAS-8 与依从性综合评分作为后续「随访/用药依从性」迭代场景的评分底座。</w:t>
      </w:r>
    </w:p>
    <w:p>
      <w:pPr>
        <w:pStyle w:val="ListBullet"/>
        <w:spacing w:after="60" w:line="324" w:lineRule="auto"/>
      </w:pPr>
      <w:r>
        <w:rPr>
          <w:rFonts w:ascii="宋体" w:hAnsi="宋体" w:eastAsia="宋体"/>
          <w:b/>
          <w:sz w:val="22"/>
        </w:rPr>
        <w:t>合规红线：</w:t>
      </w:r>
      <w:r>
        <w:rPr>
          <w:rFonts w:ascii="宋体" w:hAnsi="宋体" w:eastAsia="宋体"/>
          <w:b w:val="0"/>
          <w:sz w:val="22"/>
        </w:rPr>
        <w:t>所有对话设计均须以第二章法规为红线——自愿性、退出权、隐私保密、风险获益、损害补偿不可缺失，且 AI-SP 不得输出诊疗意见（与项目硬性约束一致）。</w:t>
      </w:r>
    </w:p>
    <w:p>
      <w:pPr>
        <w:spacing w:before="160"/>
        <w:pBdr>
          <w:bottom w:val="single" w:sz="6" w:space="1" w:color="1F4E79"/>
        </w:pBdr>
      </w:pPr>
    </w:p>
    <w:p>
      <w:pPr>
        <w:spacing w:line="336" w:lineRule="auto" w:before="120" w:after="120"/>
      </w:pPr>
      <w:r>
        <w:rPr>
          <w:rFonts w:ascii="微软雅黑" w:hAnsi="微软雅黑" w:eastAsia="微软雅黑"/>
          <w:b/>
          <w:color w:val="1F4E79"/>
          <w:sz w:val="22"/>
        </w:rPr>
        <w:t>总结：受试者—研究者间可对话完成的板块覆盖「筛选→基线→治疗随访→安全→权益→出组」全周期；其设计须以 GCP 2020、ICH E6(R3)、伦理审查办法（2023）为法规底座，并借鉴 SEGUE、MMAS-8、QuIC、依从性综合评分等成熟工具，使 AI-SP 训练既合规又可量化。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