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F4E78"/>
          <w:sz w:val="40"/>
        </w:rPr>
        <w:t>评分标准修订前后对比及赋分依据</w:t>
      </w:r>
    </w:p>
    <w:p>
      <w:pPr>
        <w:jc w:val="center"/>
      </w:pPr>
      <w:r>
        <w:rPr>
          <w:rFonts w:ascii="微软雅黑" w:hAnsi="微软雅黑" w:eastAsia="微软雅黑"/>
          <w:b w:val="0"/>
          <w:color w:val="666666"/>
          <w:sz w:val="22"/>
        </w:rPr>
        <w:t>旧版 A50+B50 → 新版 A48+B24+C16+D12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0"/>
        </w:rPr>
        <w:t>──────────────────────────────────────────────────</w:t>
      </w:r>
    </w:p>
    <w:p>
      <w:pPr>
        <w:jc w:val="left"/>
      </w:pPr>
      <w:r>
        <w:rPr>
          <w:rFonts w:ascii="微软雅黑" w:hAnsi="微软雅黑" w:eastAsia="微软雅黑"/>
          <w:b w:val="0"/>
          <w:sz w:val="20"/>
        </w:rPr>
        <w:t>本表说明为何依据调研数据调整评分权重，并给出每一项最终分值的数据来源与医学/伦理依据。</w:t>
      </w:r>
    </w:p>
    <w:p>
      <w:pPr>
        <w:jc w:val="left"/>
      </w:pPr>
      <w:r>
        <w:rPr>
          <w:rFonts w:ascii="微软雅黑" w:hAnsi="微软雅黑" w:eastAsia="微软雅黑"/>
          <w:b/>
          <w:color w:val="2E75B6"/>
          <w:sz w:val="32"/>
        </w:rPr>
        <w:t>一、维度级权重修订对比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1928"/>
            <w:shd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旧版分值</w:t>
            </w:r>
          </w:p>
        </w:tc>
        <w:tc>
          <w:tcPr>
            <w:tcW w:type="dxa" w:w="1928"/>
            <w:shd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新版分值</w:t>
            </w:r>
          </w:p>
        </w:tc>
        <w:tc>
          <w:tcPr>
            <w:tcW w:type="dxa" w:w="1928"/>
            <w:shd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变化</w:t>
            </w:r>
          </w:p>
        </w:tc>
        <w:tc>
          <w:tcPr>
            <w:tcW w:type="dxa" w:w="1928"/>
            <w:shd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调整理由（依据）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A 知情告知与风险沟通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50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48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-2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风险/退出关注度双双最高（C1 副作用 94.4%、退出权 83.3%），仍占最大权重；获益、隐私分值适度降低。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B 问诊采集与个人情况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50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24</w:t>
            </w:r>
          </w:p>
        </w:tc>
        <w:tc>
          <w:tcPr>
            <w:tcW w:type="dxa" w:w="1928"/>
            <w:shd w:fill="F4B084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-26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受访者对『被问』的关注远低于『被告知』（B2 仅占 5.6%），但用药史、过敏史属医学安全底线，保留 24 分。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C 人文关怀与心理支持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16</w:t>
            </w:r>
          </w:p>
        </w:tc>
        <w:tc>
          <w:tcPr>
            <w:tcW w:type="dxa" w:w="1928"/>
            <w:shd w:fill="F4B084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+16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C1 中疾病严重性/预后关注 66.7%，开放题词云突出『不死/影响/病程』，独立成人文关怀维度。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D 费用权益与过程安排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12</w:t>
            </w:r>
          </w:p>
        </w:tc>
        <w:tc>
          <w:tcPr>
            <w:tcW w:type="dxa" w:w="1928"/>
            <w:shd w:fill="F4B084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+12</w:t>
            </w:r>
          </w:p>
        </w:tc>
        <w:tc>
          <w:tcPr>
            <w:tcW w:type="dxa" w:w="1928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隐私、费用、随访、出组安排属真实流程关切（B1 费用权益 21 人次、C1 复查 44.4%），独立成维度。</w:t>
            </w:r>
          </w:p>
        </w:tc>
      </w:tr>
    </w:tbl>
    <w:p>
      <w:pPr>
        <w:jc w:val="left"/>
      </w:pPr>
      <w:r>
        <w:rPr>
          <w:rFonts w:ascii="微软雅黑" w:hAnsi="微软雅黑" w:eastAsia="微软雅黑"/>
          <w:b w:val="0"/>
          <w:sz w:val="19"/>
        </w:rPr>
        <w:t>说明：新版总分仍为 100 分，但打破『知情告知 50 / 问诊采集 50』的二分结构，新增人文关怀与费用/过程两个维度，更贴合患者真实关切。</w:t>
      </w:r>
    </w:p>
    <w:p>
      <w:pPr>
        <w:jc w:val="left"/>
      </w:pPr>
      <w:r>
        <w:rPr>
          <w:rFonts w:ascii="微软雅黑" w:hAnsi="微软雅黑" w:eastAsia="微软雅黑"/>
          <w:b/>
          <w:color w:val="2E75B6"/>
          <w:sz w:val="32"/>
        </w:rPr>
        <w:t>二、维度占比可视化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2409"/>
            <w:shd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新版分值</w:t>
            </w:r>
          </w:p>
        </w:tc>
        <w:tc>
          <w:tcPr>
            <w:tcW w:type="dxa" w:w="2409"/>
            <w:shd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占比</w:t>
            </w:r>
          </w:p>
        </w:tc>
        <w:tc>
          <w:tcPr>
            <w:tcW w:type="dxa" w:w="2409"/>
            <w:shd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占比条</w:t>
            </w:r>
          </w:p>
        </w:tc>
      </w:tr>
      <w:tr>
        <w:tc>
          <w:tcPr>
            <w:tcW w:type="dxa" w:w="2409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A 知情告知与风险沟通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48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48%</w:t>
            </w:r>
          </w:p>
        </w:tc>
        <w:tc>
          <w:tcPr>
            <w:tcW w:type="dxa" w:w="2409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████████████████████████░░░░░░░░░░░░░░░░░░░░░░░░░░</w:t>
            </w:r>
          </w:p>
        </w:tc>
      </w:tr>
      <w:tr>
        <w:tc>
          <w:tcPr>
            <w:tcW w:type="dxa" w:w="2409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B 问诊采集与个人情况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24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24%</w:t>
            </w:r>
          </w:p>
        </w:tc>
        <w:tc>
          <w:tcPr>
            <w:tcW w:type="dxa" w:w="2409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████████████░░░░░░░░░░░░░░░░░░░░░░░░░░░░░░░░░░░░░░</w:t>
            </w:r>
          </w:p>
        </w:tc>
      </w:tr>
      <w:tr>
        <w:tc>
          <w:tcPr>
            <w:tcW w:type="dxa" w:w="2409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C 人文关怀与心理支持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16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16%</w:t>
            </w:r>
          </w:p>
        </w:tc>
        <w:tc>
          <w:tcPr>
            <w:tcW w:type="dxa" w:w="2409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████████░░░░░░░░░░░░░░░░░░░░░░░░░░░░░░░░░░░░░░░░░░</w:t>
            </w:r>
          </w:p>
        </w:tc>
      </w:tr>
      <w:tr>
        <w:tc>
          <w:tcPr>
            <w:tcW w:type="dxa" w:w="2409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D 费用权益与过程安排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12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12%</w:t>
            </w:r>
          </w:p>
        </w:tc>
        <w:tc>
          <w:tcPr>
            <w:tcW w:type="dxa" w:w="2409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██████░░░░░░░░░░░░░░░░░░░░░░░░░░░░░░░░░░░░░░░░░░░░</w:t>
            </w:r>
          </w:p>
        </w:tc>
      </w:tr>
    </w:tbl>
    <w:p>
      <w:pPr>
        <w:jc w:val="left"/>
      </w:pPr>
      <w:r>
        <w:rPr>
          <w:rFonts w:ascii="微软雅黑" w:hAnsi="微软雅黑" w:eastAsia="微软雅黑"/>
          <w:b w:val="0"/>
          <w:sz w:val="18"/>
        </w:rPr>
        <w:t>占比条 1 格 ≈ 2%，可直观比较各维度在 100 分中的权重。</w:t>
      </w:r>
    </w:p>
    <w:p>
      <w:pPr>
        <w:jc w:val="left"/>
      </w:pPr>
      <w:r>
        <w:rPr>
          <w:rFonts w:ascii="微软雅黑" w:hAnsi="微软雅黑" w:eastAsia="微软雅黑"/>
          <w:b/>
          <w:color w:val="2E75B6"/>
          <w:sz w:val="32"/>
        </w:rPr>
        <w:t>三、条目级赋分与依据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737"/>
            <w:shd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1474"/>
            <w:shd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1701"/>
            <w:shd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评分点</w:t>
            </w:r>
          </w:p>
        </w:tc>
        <w:tc>
          <w:tcPr>
            <w:tcW w:type="dxa" w:w="680"/>
            <w:shd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分值</w:t>
            </w:r>
          </w:p>
        </w:tc>
        <w:tc>
          <w:tcPr>
            <w:tcW w:type="dxa" w:w="850"/>
            <w:shd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旧版对应</w:t>
            </w:r>
          </w:p>
        </w:tc>
        <w:tc>
          <w:tcPr>
            <w:tcW w:type="dxa" w:w="4535"/>
            <w:shd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赋分理由（数据/规范依据）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A1</w:t>
            </w:r>
          </w:p>
        </w:tc>
        <w:tc>
          <w:tcPr>
            <w:tcW w:type="dxa" w:w="1474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A 知情告知与风险沟通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试验目的、期限、操作说明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A1/S1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B1 中 77.78% 想了解『整体情况』，研究者需先说清『做什么、做多久』；属框架性告知，中等权重。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A2</w:t>
            </w:r>
          </w:p>
        </w:tc>
        <w:tc>
          <w:tcPr>
            <w:tcW w:type="dxa" w:w="1474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A 知情告知与风险沟通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参加完全自愿，自主决定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A2/S2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B1 中 33.33% 关心，GCP/伦理审查硬性要求；但自愿概念与退出权高度重叠，故低于退出权。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A3</w:t>
            </w:r>
          </w:p>
        </w:tc>
        <w:tc>
          <w:tcPr>
            <w:tcW w:type="dxa" w:w="1474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A 知情告知与风险沟通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中途可随时无条件退出</w:t>
            </w:r>
          </w:p>
        </w:tc>
        <w:tc>
          <w:tcPr>
            <w:tcW w:type="dxa" w:w="680"/>
            <w:shd w:fill="FFD966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A3/S3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B1 72.22% + C1 83.33% 高关切；退出权是临床试验伦理底线，权重仅次于风险。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A4</w:t>
            </w:r>
          </w:p>
        </w:tc>
        <w:tc>
          <w:tcPr>
            <w:tcW w:type="dxa" w:w="1474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A 知情告知与风险沟通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风险与不良反应说明</w:t>
            </w:r>
          </w:p>
        </w:tc>
        <w:tc>
          <w:tcPr>
            <w:tcW w:type="dxa" w:w="680"/>
            <w:shd w:fill="FFD966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A4/S4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B1 88.89% + C1 94.44% 双双最高，权重最大。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A5</w:t>
            </w:r>
          </w:p>
        </w:tc>
        <w:tc>
          <w:tcPr>
            <w:tcW w:type="dxa" w:w="1474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A 知情告知与风险沟通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潜在获益说明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A5/S5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B1 仅 33.33%，属必须告知但非受访者最关切，权重最低。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A6</w:t>
            </w:r>
          </w:p>
        </w:tc>
        <w:tc>
          <w:tcPr>
            <w:tcW w:type="dxa" w:w="1474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A 知情告知与风险沟通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隐私保密承诺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N5/S7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B1 55.56% + C1 55.56% 稳定关注，GCP 明确要求；因隐私在 C/D 维度也有渗透，权重中高。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B1</w:t>
            </w:r>
          </w:p>
        </w:tc>
        <w:tc>
          <w:tcPr>
            <w:tcW w:type="dxa" w:w="1474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B 问诊采集与个人情况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自我介绍与患者信息确认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N1/N3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基础礼仪与身份核对，B2『最重要』仅 5.6%，分值不宜过高。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B2</w:t>
            </w:r>
          </w:p>
        </w:tc>
        <w:tc>
          <w:tcPr>
            <w:tcW w:type="dxa" w:w="1474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B 问诊采集与个人情况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近期不适/症状询问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B4/S6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C1 其他不适 38.89%，属必要医学采集，保障入组与随访安全。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B3</w:t>
            </w:r>
          </w:p>
        </w:tc>
        <w:tc>
          <w:tcPr>
            <w:tcW w:type="dxa" w:w="1474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B 问诊采集与个人情况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用药史/继续用药确认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B2/S8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B1/C1 均约 33.33%，但用药安全是入组核心与依从性评估关键。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B4</w:t>
            </w:r>
          </w:p>
        </w:tc>
        <w:tc>
          <w:tcPr>
            <w:tcW w:type="dxa" w:w="1474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B 问诊采集与个人情况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药物过敏史询问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B4/S9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B1 22.22% 较低，但过敏史直接关乎用药安全，属底线必查。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C1</w:t>
            </w:r>
          </w:p>
        </w:tc>
        <w:tc>
          <w:tcPr>
            <w:tcW w:type="dxa" w:w="1474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C 人文关怀与心理支持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疾病严重性与预后/未知恐惧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H1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C1 66.67% 高提及，开放题词云『不死/会不会/病程』直接支撑。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C2</w:t>
            </w:r>
          </w:p>
        </w:tc>
        <w:tc>
          <w:tcPr>
            <w:tcW w:type="dxa" w:w="1474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C 人文关怀与心理支持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通俗解释与确认理解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H2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B1 22.22%，但词云『具体』反映患者渴望听得懂；文化水平差异大时尤需。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C3</w:t>
            </w:r>
          </w:p>
        </w:tc>
        <w:tc>
          <w:tcPr>
            <w:tcW w:type="dxa" w:w="1474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C 人文关怀与心理支持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生活角色影响（上班/带娃/家庭）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H3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B1 16.67%，老年/慢病患者长期关切，体现『以患者为中心』。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C4</w:t>
            </w:r>
          </w:p>
        </w:tc>
        <w:tc>
          <w:tcPr>
            <w:tcW w:type="dxa" w:w="1474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C 人文关怀与心理支持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倾听尊重与情绪安抚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H4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B1 16.67%，属满意度基础；虽权重低但必查，防止研究者只问不倾听。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D1</w:t>
            </w:r>
          </w:p>
        </w:tc>
        <w:tc>
          <w:tcPr>
            <w:tcW w:type="dxa" w:w="1474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D 费用权益与过程安排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费用与补偿说明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S6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B1 33.33%，B2 11.11%；本次样本偏年轻高学历不够突出，但真实受试者常关心，保留中权重。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D2</w:t>
            </w:r>
          </w:p>
        </w:tc>
        <w:tc>
          <w:tcPr>
            <w:tcW w:type="dxa" w:w="1474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D 费用权益与过程安排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随访/复查安排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S2/S3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C1 44.44% 问及，属治疗随访高频问题。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D3</w:t>
            </w:r>
          </w:p>
        </w:tc>
        <w:tc>
          <w:tcPr>
            <w:tcW w:type="dxa" w:w="1474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D 费用权益与过程安排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出组后安排与联系渠道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S4/S5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B1 各 27.78%，出组结束期必问，保障受试者退出或完成后的连续性。</w:t>
            </w:r>
          </w:p>
        </w:tc>
      </w:tr>
    </w:tbl>
    <w:p>
      <w:pPr>
        <w:jc w:val="left"/>
      </w:pPr>
      <w:r>
        <w:rPr>
          <w:rFonts w:ascii="微软雅黑" w:hAnsi="微软雅黑" w:eastAsia="微软雅黑"/>
          <w:b/>
          <w:color w:val="2E75B6"/>
          <w:sz w:val="32"/>
        </w:rPr>
        <w:t>四、红线扣分项（从总分扣除）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不当行为（红线）</w:t>
            </w:r>
          </w:p>
        </w:tc>
        <w:tc>
          <w:tcPr>
            <w:tcW w:type="dxa" w:w="2409"/>
            <w:shd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含义说明</w:t>
            </w:r>
          </w:p>
        </w:tc>
        <w:tc>
          <w:tcPr>
            <w:tcW w:type="dxa" w:w="2409"/>
            <w:shd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单次扣分</w:t>
            </w:r>
          </w:p>
        </w:tc>
        <w:tc>
          <w:tcPr>
            <w:tcW w:type="dxa" w:w="2409"/>
            <w:shd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计扣方式</w:t>
            </w:r>
          </w:p>
        </w:tc>
      </w:tr>
      <w:tr>
        <w:tc>
          <w:tcPr>
            <w:tcW w:type="dxa" w:w="2409"/>
            <w:shd w:fill="F8CBAD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自行编撰/编造信息</w:t>
            </w:r>
          </w:p>
        </w:tc>
        <w:tc>
          <w:tcPr>
            <w:tcW w:type="dxa" w:w="2409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虚构病例没有的症状、病史、检查结果或药物信息（如凭空说『您肝功正常』『这药绝对没副作用』）。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−2 分/次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每出现一次扣 2 分，可叠加，扣完为止</w:t>
            </w:r>
          </w:p>
        </w:tc>
      </w:tr>
      <w:tr>
        <w:tc>
          <w:tcPr>
            <w:tcW w:type="dxa" w:w="2409"/>
            <w:shd w:fill="F8CBAD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诱导式发问</w:t>
            </w:r>
          </w:p>
        </w:tc>
        <w:tc>
          <w:tcPr>
            <w:tcW w:type="dxa" w:w="2409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用引导/暗示性话术迫使 SP 按预期作答（如『您肯定是愿意参加的吧？』『不退出对您最好』）。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−2 分/次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每出现一次扣 2 分，可叠加，扣完为止</w:t>
            </w:r>
          </w:p>
        </w:tc>
      </w:tr>
      <w:tr>
        <w:tc>
          <w:tcPr>
            <w:tcW w:type="dxa" w:w="2409"/>
            <w:shd w:fill="F8CBAD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模棱两可/含糊其辞</w:t>
            </w:r>
          </w:p>
        </w:tc>
        <w:tc>
          <w:tcPr>
            <w:tcW w:type="dxa" w:w="2409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对退出权、风险、补偿等关键告知回避含糊（如『一般都能退吧』『费用再说』）。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−2 分/次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每出现一次扣 2 分，可叠加，扣完为止</w:t>
            </w:r>
          </w:p>
        </w:tc>
      </w:tr>
      <w:tr>
        <w:tc>
          <w:tcPr>
            <w:tcW w:type="dxa" w:w="2409"/>
            <w:shd w:fill="F8CBAD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隐瞒或淡化风险</w:t>
            </w:r>
          </w:p>
        </w:tc>
        <w:tc>
          <w:tcPr>
            <w:tcW w:type="dxa" w:w="2409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未如实说明可能的不良反应，或故意淡化、一带而过。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−2 分/次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每出现一次扣 2 分，可叠加，扣完为止</w:t>
            </w:r>
          </w:p>
        </w:tc>
      </w:tr>
    </w:tbl>
    <w:p>
      <w:pPr>
        <w:jc w:val="left"/>
      </w:pPr>
      <w:r>
        <w:rPr>
          <w:rFonts w:ascii="微软雅黑" w:hAnsi="微软雅黑" w:eastAsia="微软雅黑"/>
          <w:b/>
          <w:color w:val="2E75B6"/>
          <w:sz w:val="32"/>
        </w:rPr>
        <w:t>五、赋分原则总结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19"/>
        </w:rPr>
        <w:t>高患者关切 → 高分值：副作用/不良反应 15 分、退出权 12 分，对应 C1 中 94.4% 与 83.3% 的最高关切。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19"/>
        </w:rPr>
        <w:t>伦理/法规强制项 → 中高基础分：自愿参加 8 分、隐私保密 10 分、过敏史 5 分，即使患者关注度不高也必须保留。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19"/>
        </w:rPr>
        <w:t>低患者关切但医学安全必要 → 保留低分：问诊采集整体从 50 分降至 24 分，但用药史、症状、过敏史仍占 21 分。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19"/>
        </w:rPr>
        <w:t>新增维度由分散关切聚合：人文关怀 16 分来自 C1 严重性/预后 66.7% + 开放题词云；费用/过程 12 分来自 B1 多选 + 真实流程需要。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19"/>
        </w:rPr>
        <w:t>关键词相关度判定：覆盖红字关键词 ≥80% 得满分，50%–79% 得半分，&lt;50% 得 0 分。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