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00"/>
        </w:rPr>
        <w:t>6 系统测试</w:t>
      </w:r>
    </w:p>
    <w:p>
      <w:pPr>
        <w:spacing w:line="560" w:lineRule="exact" w:after="80"/>
        <w:ind w:firstLine="420"/>
      </w:pPr>
      <w:r>
        <w:rPr>
          <w:rFonts w:ascii="宋体" w:hAnsi="宋体" w:eastAsia="宋体"/>
          <w:sz w:val="24"/>
        </w:rPr>
        <w:t>系统测试是软件开发过程中验证产品质量的关键环节。本章从测试目的、测试资源、测试方法、测试用例及测试报告五个方面，对房屋租赁系统进行全面的质量检验。</w:t>
      </w:r>
    </w:p>
    <w:p>
      <w:pPr>
        <w:pStyle w:val="Heading2"/>
      </w:pPr>
      <w:r>
        <w:rPr>
          <w:color w:val="000000"/>
        </w:rPr>
        <w:t>6.1 测试目的</w:t>
      </w:r>
    </w:p>
    <w:p>
      <w:pPr>
        <w:spacing w:line="560" w:lineRule="exact" w:after="80"/>
        <w:ind w:firstLine="420"/>
      </w:pPr>
      <w:r>
        <w:rPr>
          <w:rFonts w:ascii="宋体" w:hAnsi="宋体" w:eastAsia="宋体"/>
          <w:sz w:val="24"/>
        </w:rPr>
        <w:t>本次测试旨在验证系统各功能模块是否按照需求规格说明书的要求正确运行，重点检验以下内容：其一，用户注册登录、房源发布审核、租赁下单、合同签署等核心业务流程的功能完整性；其二，三类房东标识与五项费用明细等创新功能的展示准确性；其三，协同过滤推荐算法输出结果的合理性；其四，JWT认证、角色权限控制、参数校验等安全机制的有效性；其五，系统在异常输入和边界条件下的容错能力。</w:t>
      </w:r>
    </w:p>
    <w:p>
      <w:pPr>
        <w:pStyle w:val="Heading2"/>
      </w:pPr>
      <w:r>
        <w:rPr>
          <w:color w:val="000000"/>
        </w:rPr>
        <w:t>6.2 测试资源</w:t>
      </w:r>
    </w:p>
    <w:p>
      <w:pPr>
        <w:spacing w:line="560" w:lineRule="exact" w:after="80"/>
        <w:ind w:firstLine="420"/>
      </w:pPr>
      <w:r>
        <w:rPr>
          <w:rFonts w:ascii="宋体" w:hAnsi="宋体" w:eastAsia="宋体"/>
          <w:sz w:val="24"/>
        </w:rPr>
        <w:t>测试环境的软硬件配置如表6-1所示。</w:t>
      </w:r>
    </w:p>
    <w:p>
      <w:pPr>
        <w:spacing w:line="560" w:lineRule="exact" w:after="80"/>
      </w:pPr>
      <w:r>
        <w:rPr>
          <w:rFonts w:ascii="宋体" w:hAnsi="宋体" w:eastAsia="宋体"/>
          <w:b/>
          <w:sz w:val="24"/>
        </w:rPr>
        <w:t>表6-1 测试环境配置</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shd w:fill="D9E2F3" w:val="clear"/>
          </w:tcPr>
          <w:p>
            <w:pPr>
              <w:jc w:val="center"/>
            </w:pPr>
            <w:r>
              <w:rPr>
                <w:rFonts w:ascii="宋体" w:hAnsi="宋体" w:eastAsia="宋体"/>
                <w:b/>
                <w:sz w:val="21"/>
              </w:rPr>
              <w:t>类别</w:t>
            </w:r>
          </w:p>
        </w:tc>
        <w:tc>
          <w:tcPr>
            <w:tcW w:type="dxa" w:w="2880"/>
            <w:shd w:fill="D9E2F3" w:val="clear"/>
          </w:tcPr>
          <w:p>
            <w:pPr>
              <w:jc w:val="center"/>
            </w:pPr>
            <w:r>
              <w:rPr>
                <w:rFonts w:ascii="宋体" w:hAnsi="宋体" w:eastAsia="宋体"/>
                <w:b/>
                <w:sz w:val="21"/>
              </w:rPr>
              <w:t>配置项</w:t>
            </w:r>
          </w:p>
        </w:tc>
        <w:tc>
          <w:tcPr>
            <w:tcW w:type="dxa" w:w="2880"/>
            <w:shd w:fill="D9E2F3" w:val="clear"/>
          </w:tcPr>
          <w:p>
            <w:pPr>
              <w:jc w:val="center"/>
            </w:pPr>
            <w:r>
              <w:rPr>
                <w:rFonts w:ascii="宋体" w:hAnsi="宋体" w:eastAsia="宋体"/>
                <w:b/>
                <w:sz w:val="21"/>
              </w:rPr>
              <w:t>说明</w:t>
            </w:r>
          </w:p>
        </w:tc>
      </w:tr>
      <w:tr>
        <w:tc>
          <w:tcPr>
            <w:tcW w:type="dxa" w:w="2880"/>
          </w:tcPr>
          <w:p>
            <w:pPr>
              <w:jc w:val="center"/>
            </w:pPr>
            <w:r>
              <w:rPr>
                <w:rFonts w:ascii="宋体" w:hAnsi="宋体" w:eastAsia="宋体"/>
                <w:sz w:val="21"/>
              </w:rPr>
              <w:t>硬件</w:t>
            </w:r>
          </w:p>
        </w:tc>
        <w:tc>
          <w:tcPr>
            <w:tcW w:type="dxa" w:w="2880"/>
          </w:tcPr>
          <w:p>
            <w:pPr>
              <w:jc w:val="center"/>
            </w:pPr>
            <w:r>
              <w:rPr>
                <w:rFonts w:ascii="宋体" w:hAnsi="宋体" w:eastAsia="宋体"/>
                <w:sz w:val="21"/>
              </w:rPr>
              <w:t>Intel i7-12700H / 16GB / 512GB SSD</w:t>
            </w:r>
          </w:p>
        </w:tc>
        <w:tc>
          <w:tcPr>
            <w:tcW w:type="dxa" w:w="2880"/>
          </w:tcPr>
          <w:p>
            <w:pPr>
              <w:jc w:val="center"/>
            </w:pPr>
            <w:r>
              <w:rPr>
                <w:rFonts w:ascii="宋体" w:hAnsi="宋体" w:eastAsia="宋体"/>
                <w:sz w:val="21"/>
              </w:rPr>
              <w:t>服务部署与测试执行</w:t>
            </w:r>
          </w:p>
        </w:tc>
      </w:tr>
      <w:tr>
        <w:tc>
          <w:tcPr>
            <w:tcW w:type="dxa" w:w="2880"/>
          </w:tcPr>
          <w:p>
            <w:pPr>
              <w:jc w:val="center"/>
            </w:pPr>
            <w:r>
              <w:rPr>
                <w:rFonts w:ascii="宋体" w:hAnsi="宋体" w:eastAsia="宋体"/>
                <w:sz w:val="21"/>
              </w:rPr>
              <w:t>操作系统</w:t>
            </w:r>
          </w:p>
        </w:tc>
        <w:tc>
          <w:tcPr>
            <w:tcW w:type="dxa" w:w="2880"/>
          </w:tcPr>
          <w:p>
            <w:pPr>
              <w:jc w:val="center"/>
            </w:pPr>
            <w:r>
              <w:rPr>
                <w:rFonts w:ascii="宋体" w:hAnsi="宋体" w:eastAsia="宋体"/>
                <w:sz w:val="21"/>
              </w:rPr>
              <w:t>Windows 11 / Chrome 120+</w:t>
            </w:r>
          </w:p>
        </w:tc>
        <w:tc>
          <w:tcPr>
            <w:tcW w:type="dxa" w:w="2880"/>
          </w:tcPr>
          <w:p>
            <w:pPr>
              <w:jc w:val="center"/>
            </w:pPr>
            <w:r>
              <w:rPr>
                <w:rFonts w:ascii="宋体" w:hAnsi="宋体" w:eastAsia="宋体"/>
                <w:sz w:val="21"/>
              </w:rPr>
              <w:t>前端运行与用户模拟</w:t>
            </w:r>
          </w:p>
        </w:tc>
      </w:tr>
      <w:tr>
        <w:tc>
          <w:tcPr>
            <w:tcW w:type="dxa" w:w="2880"/>
          </w:tcPr>
          <w:p>
            <w:pPr>
              <w:jc w:val="center"/>
            </w:pPr>
            <w:r>
              <w:rPr>
                <w:rFonts w:ascii="宋体" w:hAnsi="宋体" w:eastAsia="宋体"/>
                <w:sz w:val="21"/>
              </w:rPr>
              <w:t>后端</w:t>
            </w:r>
          </w:p>
        </w:tc>
        <w:tc>
          <w:tcPr>
            <w:tcW w:type="dxa" w:w="2880"/>
          </w:tcPr>
          <w:p>
            <w:pPr>
              <w:jc w:val="center"/>
            </w:pPr>
            <w:r>
              <w:rPr>
                <w:rFonts w:ascii="宋体" w:hAnsi="宋体" w:eastAsia="宋体"/>
                <w:sz w:val="21"/>
              </w:rPr>
              <w:t>JDK 17 + Spring Boot 3.1.5 + MyBatis-Plus 3.5.5</w:t>
            </w:r>
          </w:p>
        </w:tc>
        <w:tc>
          <w:tcPr>
            <w:tcW w:type="dxa" w:w="2880"/>
          </w:tcPr>
          <w:p>
            <w:pPr>
              <w:jc w:val="center"/>
            </w:pPr>
            <w:r>
              <w:rPr>
                <w:rFonts w:ascii="宋体" w:hAnsi="宋体" w:eastAsia="宋体"/>
                <w:sz w:val="21"/>
              </w:rPr>
              <w:t>业务逻辑与API接口</w:t>
            </w:r>
          </w:p>
        </w:tc>
      </w:tr>
      <w:tr>
        <w:tc>
          <w:tcPr>
            <w:tcW w:type="dxa" w:w="2880"/>
          </w:tcPr>
          <w:p>
            <w:pPr>
              <w:jc w:val="center"/>
            </w:pPr>
            <w:r>
              <w:rPr>
                <w:rFonts w:ascii="宋体" w:hAnsi="宋体" w:eastAsia="宋体"/>
                <w:sz w:val="21"/>
              </w:rPr>
              <w:t>前端</w:t>
            </w:r>
          </w:p>
        </w:tc>
        <w:tc>
          <w:tcPr>
            <w:tcW w:type="dxa" w:w="2880"/>
          </w:tcPr>
          <w:p>
            <w:pPr>
              <w:jc w:val="center"/>
            </w:pPr>
            <w:r>
              <w:rPr>
                <w:rFonts w:ascii="宋体" w:hAnsi="宋体" w:eastAsia="宋体"/>
                <w:sz w:val="21"/>
              </w:rPr>
              <w:t>Vue 3.4 + Element Plus 2.4 + Vite 5.x</w:t>
            </w:r>
          </w:p>
        </w:tc>
        <w:tc>
          <w:tcPr>
            <w:tcW w:type="dxa" w:w="2880"/>
          </w:tcPr>
          <w:p>
            <w:pPr>
              <w:jc w:val="center"/>
            </w:pPr>
            <w:r>
              <w:rPr>
                <w:rFonts w:ascii="宋体" w:hAnsi="宋体" w:eastAsia="宋体"/>
                <w:sz w:val="21"/>
              </w:rPr>
              <w:t>页面交互与展示</w:t>
            </w:r>
          </w:p>
        </w:tc>
      </w:tr>
      <w:tr>
        <w:tc>
          <w:tcPr>
            <w:tcW w:type="dxa" w:w="2880"/>
          </w:tcPr>
          <w:p>
            <w:pPr>
              <w:jc w:val="center"/>
            </w:pPr>
            <w:r>
              <w:rPr>
                <w:rFonts w:ascii="宋体" w:hAnsi="宋体" w:eastAsia="宋体"/>
                <w:sz w:val="21"/>
              </w:rPr>
              <w:t>数据库</w:t>
            </w:r>
          </w:p>
        </w:tc>
        <w:tc>
          <w:tcPr>
            <w:tcW w:type="dxa" w:w="2880"/>
          </w:tcPr>
          <w:p>
            <w:pPr>
              <w:jc w:val="center"/>
            </w:pPr>
            <w:r>
              <w:rPr>
                <w:rFonts w:ascii="宋体" w:hAnsi="宋体" w:eastAsia="宋体"/>
                <w:sz w:val="21"/>
              </w:rPr>
              <w:t>MySQL 8.0 + Redis 7.x</w:t>
            </w:r>
          </w:p>
        </w:tc>
        <w:tc>
          <w:tcPr>
            <w:tcW w:type="dxa" w:w="2880"/>
          </w:tcPr>
          <w:p>
            <w:pPr>
              <w:jc w:val="center"/>
            </w:pPr>
            <w:r>
              <w:rPr>
                <w:rFonts w:ascii="宋体" w:hAnsi="宋体" w:eastAsia="宋体"/>
                <w:sz w:val="21"/>
              </w:rPr>
              <w:t>数据持久化与缓存</w:t>
            </w:r>
          </w:p>
        </w:tc>
      </w:tr>
      <w:tr>
        <w:tc>
          <w:tcPr>
            <w:tcW w:type="dxa" w:w="2880"/>
          </w:tcPr>
          <w:p>
            <w:pPr>
              <w:jc w:val="center"/>
            </w:pPr>
            <w:r>
              <w:rPr>
                <w:rFonts w:ascii="宋体" w:hAnsi="宋体" w:eastAsia="宋体"/>
                <w:sz w:val="21"/>
              </w:rPr>
              <w:t>测试工具</w:t>
            </w:r>
          </w:p>
        </w:tc>
        <w:tc>
          <w:tcPr>
            <w:tcW w:type="dxa" w:w="2880"/>
          </w:tcPr>
          <w:p>
            <w:pPr>
              <w:jc w:val="center"/>
            </w:pPr>
            <w:r>
              <w:rPr>
                <w:rFonts w:ascii="宋体" w:hAnsi="宋体" w:eastAsia="宋体"/>
                <w:sz w:val="21"/>
              </w:rPr>
              <w:t>Postman 10.x + Chrome DevTools</w:t>
            </w:r>
          </w:p>
        </w:tc>
        <w:tc>
          <w:tcPr>
            <w:tcW w:type="dxa" w:w="2880"/>
          </w:tcPr>
          <w:p>
            <w:pPr>
              <w:jc w:val="center"/>
            </w:pPr>
            <w:r>
              <w:rPr>
                <w:rFonts w:ascii="宋体" w:hAnsi="宋体" w:eastAsia="宋体"/>
                <w:sz w:val="21"/>
              </w:rPr>
              <w:t>接口调试与前端调试</w:t>
            </w:r>
          </w:p>
        </w:tc>
      </w:tr>
    </w:tbl>
    <w:p/>
    <w:p>
      <w:pPr>
        <w:pStyle w:val="Heading2"/>
      </w:pPr>
      <w:r>
        <w:rPr>
          <w:color w:val="000000"/>
        </w:rPr>
        <w:t>6.3 测试方法</w:t>
      </w:r>
    </w:p>
    <w:p>
      <w:pPr>
        <w:spacing w:line="560" w:lineRule="exact" w:after="80"/>
        <w:ind w:firstLine="420"/>
      </w:pPr>
      <w:r>
        <w:rPr>
          <w:rFonts w:ascii="宋体" w:hAnsi="宋体" w:eastAsia="宋体"/>
          <w:sz w:val="24"/>
        </w:rPr>
        <w:t>本次测试综合采用黑盒测试、等价类划分、边界值分析和接口测试四种方法。黑盒测试从用户视角验证各页面操作的输入输出是否符合预期；等价类划分将手机号、密码、租金等输入域划分为有效类和无效类，选取代表值进行覆盖；边界值分析针对数值型字段的临界值重点测试；接口测试通过Postman直接调用后端RESTful API，验证参数校验、JWT鉴权和权限控制的正确性。</w:t>
      </w:r>
    </w:p>
    <w:p>
      <w:pPr>
        <w:pStyle w:val="Heading2"/>
      </w:pPr>
      <w:r>
        <w:rPr>
          <w:color w:val="000000"/>
        </w:rPr>
        <w:t>6.4 测试用例及执行</w:t>
      </w:r>
    </w:p>
    <w:p>
      <w:pPr>
        <w:spacing w:line="560" w:lineRule="exact" w:after="80"/>
        <w:ind w:firstLine="420"/>
      </w:pPr>
      <w:r>
        <w:rPr>
          <w:rFonts w:ascii="宋体" w:hAnsi="宋体" w:eastAsia="宋体"/>
          <w:sz w:val="24"/>
        </w:rPr>
        <w:t>根据系统功能划分，选取用户认证、房源管理、租赁业务、合同管理和后台管理五个核心模块设计测试用例，如表6-2所示。</w:t>
      </w:r>
    </w:p>
    <w:p>
      <w:pPr>
        <w:spacing w:line="560" w:lineRule="exact" w:after="80"/>
      </w:pPr>
      <w:r>
        <w:rPr>
          <w:rFonts w:ascii="宋体" w:hAnsi="宋体" w:eastAsia="宋体"/>
          <w:b/>
          <w:sz w:val="24"/>
        </w:rPr>
        <w:t>表6-2 核心模块测试用例</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shd w:fill="D9E2F3" w:val="clear"/>
          </w:tcPr>
          <w:p>
            <w:pPr>
              <w:jc w:val="center"/>
            </w:pPr>
            <w:r>
              <w:rPr>
                <w:rFonts w:ascii="宋体" w:hAnsi="宋体" w:eastAsia="宋体"/>
                <w:b/>
                <w:sz w:val="21"/>
              </w:rPr>
              <w:t>编号</w:t>
            </w:r>
          </w:p>
        </w:tc>
        <w:tc>
          <w:tcPr>
            <w:tcW w:type="dxa" w:w="1728"/>
            <w:shd w:fill="D9E2F3" w:val="clear"/>
          </w:tcPr>
          <w:p>
            <w:pPr>
              <w:jc w:val="center"/>
            </w:pPr>
            <w:r>
              <w:rPr>
                <w:rFonts w:ascii="宋体" w:hAnsi="宋体" w:eastAsia="宋体"/>
                <w:b/>
                <w:sz w:val="21"/>
              </w:rPr>
              <w:t>模块</w:t>
            </w:r>
          </w:p>
        </w:tc>
        <w:tc>
          <w:tcPr>
            <w:tcW w:type="dxa" w:w="1728"/>
            <w:shd w:fill="D9E2F3" w:val="clear"/>
          </w:tcPr>
          <w:p>
            <w:pPr>
              <w:jc w:val="center"/>
            </w:pPr>
            <w:r>
              <w:rPr>
                <w:rFonts w:ascii="宋体" w:hAnsi="宋体" w:eastAsia="宋体"/>
                <w:b/>
                <w:sz w:val="21"/>
              </w:rPr>
              <w:t>测试内容</w:t>
            </w:r>
          </w:p>
        </w:tc>
        <w:tc>
          <w:tcPr>
            <w:tcW w:type="dxa" w:w="1728"/>
            <w:shd w:fill="D9E2F3" w:val="clear"/>
          </w:tcPr>
          <w:p>
            <w:pPr>
              <w:jc w:val="center"/>
            </w:pPr>
            <w:r>
              <w:rPr>
                <w:rFonts w:ascii="宋体" w:hAnsi="宋体" w:eastAsia="宋体"/>
                <w:b/>
                <w:sz w:val="21"/>
              </w:rPr>
              <w:t>预期结果</w:t>
            </w:r>
          </w:p>
        </w:tc>
        <w:tc>
          <w:tcPr>
            <w:tcW w:type="dxa" w:w="1728"/>
            <w:shd w:fill="D9E2F3" w:val="clear"/>
          </w:tcPr>
          <w:p>
            <w:pPr>
              <w:jc w:val="center"/>
            </w:pPr>
            <w:r>
              <w:rPr>
                <w:rFonts w:ascii="宋体" w:hAnsi="宋体" w:eastAsia="宋体"/>
                <w:b/>
                <w:sz w:val="21"/>
              </w:rPr>
              <w:t>结果</w:t>
            </w:r>
          </w:p>
        </w:tc>
      </w:tr>
      <w:tr>
        <w:tc>
          <w:tcPr>
            <w:tcW w:type="dxa" w:w="1728"/>
          </w:tcPr>
          <w:p>
            <w:pPr>
              <w:jc w:val="center"/>
            </w:pPr>
            <w:r>
              <w:rPr>
                <w:rFonts w:ascii="宋体" w:hAnsi="宋体" w:eastAsia="宋体"/>
                <w:sz w:val="21"/>
              </w:rPr>
              <w:t>TC-01</w:t>
            </w:r>
          </w:p>
        </w:tc>
        <w:tc>
          <w:tcPr>
            <w:tcW w:type="dxa" w:w="1728"/>
          </w:tcPr>
          <w:p>
            <w:pPr>
              <w:jc w:val="center"/>
            </w:pPr>
            <w:r>
              <w:rPr>
                <w:rFonts w:ascii="宋体" w:hAnsi="宋体" w:eastAsia="宋体"/>
                <w:sz w:val="21"/>
              </w:rPr>
              <w:t>用户认证</w:t>
            </w:r>
          </w:p>
        </w:tc>
        <w:tc>
          <w:tcPr>
            <w:tcW w:type="dxa" w:w="1728"/>
          </w:tcPr>
          <w:p>
            <w:pPr>
              <w:jc w:val="center"/>
            </w:pPr>
            <w:r>
              <w:rPr>
                <w:rFonts w:ascii="宋体" w:hAnsi="宋体" w:eastAsia="宋体"/>
                <w:sz w:val="21"/>
              </w:rPr>
              <w:t>填写合法信息注册新用户</w:t>
            </w:r>
          </w:p>
        </w:tc>
        <w:tc>
          <w:tcPr>
            <w:tcW w:type="dxa" w:w="1728"/>
          </w:tcPr>
          <w:p>
            <w:pPr>
              <w:jc w:val="center"/>
            </w:pPr>
            <w:r>
              <w:rPr>
                <w:rFonts w:ascii="宋体" w:hAnsi="宋体" w:eastAsia="宋体"/>
                <w:sz w:val="21"/>
              </w:rPr>
              <w:t>注册成功，跳转登录页</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TC-02</w:t>
            </w:r>
          </w:p>
        </w:tc>
        <w:tc>
          <w:tcPr>
            <w:tcW w:type="dxa" w:w="1728"/>
          </w:tcPr>
          <w:p>
            <w:pPr>
              <w:jc w:val="center"/>
            </w:pPr>
            <w:r>
              <w:rPr>
                <w:rFonts w:ascii="宋体" w:hAnsi="宋体" w:eastAsia="宋体"/>
                <w:sz w:val="21"/>
              </w:rPr>
              <w:t>用户认证</w:t>
            </w:r>
          </w:p>
        </w:tc>
        <w:tc>
          <w:tcPr>
            <w:tcW w:type="dxa" w:w="1728"/>
          </w:tcPr>
          <w:p>
            <w:pPr>
              <w:jc w:val="center"/>
            </w:pPr>
            <w:r>
              <w:rPr>
                <w:rFonts w:ascii="宋体" w:hAnsi="宋体" w:eastAsia="宋体"/>
                <w:sz w:val="21"/>
              </w:rPr>
              <w:t>使用已存在用户名注册</w:t>
            </w:r>
          </w:p>
        </w:tc>
        <w:tc>
          <w:tcPr>
            <w:tcW w:type="dxa" w:w="1728"/>
          </w:tcPr>
          <w:p>
            <w:pPr>
              <w:jc w:val="center"/>
            </w:pPr>
            <w:r>
              <w:rPr>
                <w:rFonts w:ascii="宋体" w:hAnsi="宋体" w:eastAsia="宋体"/>
                <w:sz w:val="21"/>
              </w:rPr>
              <w:t>提示"用户名已被注册"</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TC-03</w:t>
            </w:r>
          </w:p>
        </w:tc>
        <w:tc>
          <w:tcPr>
            <w:tcW w:type="dxa" w:w="1728"/>
          </w:tcPr>
          <w:p>
            <w:pPr>
              <w:jc w:val="center"/>
            </w:pPr>
            <w:r>
              <w:rPr>
                <w:rFonts w:ascii="宋体" w:hAnsi="宋体" w:eastAsia="宋体"/>
                <w:sz w:val="21"/>
              </w:rPr>
              <w:t>用户认证</w:t>
            </w:r>
          </w:p>
        </w:tc>
        <w:tc>
          <w:tcPr>
            <w:tcW w:type="dxa" w:w="1728"/>
          </w:tcPr>
          <w:p>
            <w:pPr>
              <w:jc w:val="center"/>
            </w:pPr>
            <w:r>
              <w:rPr>
                <w:rFonts w:ascii="宋体" w:hAnsi="宋体" w:eastAsia="宋体"/>
                <w:sz w:val="21"/>
              </w:rPr>
              <w:t>输入正确账号密码登录</w:t>
            </w:r>
          </w:p>
        </w:tc>
        <w:tc>
          <w:tcPr>
            <w:tcW w:type="dxa" w:w="1728"/>
          </w:tcPr>
          <w:p>
            <w:pPr>
              <w:jc w:val="center"/>
            </w:pPr>
            <w:r>
              <w:rPr>
                <w:rFonts w:ascii="宋体" w:hAnsi="宋体" w:eastAsia="宋体"/>
                <w:sz w:val="21"/>
              </w:rPr>
              <w:t>登录成功，导航栏显示用户名</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TC-04</w:t>
            </w:r>
          </w:p>
        </w:tc>
        <w:tc>
          <w:tcPr>
            <w:tcW w:type="dxa" w:w="1728"/>
          </w:tcPr>
          <w:p>
            <w:pPr>
              <w:jc w:val="center"/>
            </w:pPr>
            <w:r>
              <w:rPr>
                <w:rFonts w:ascii="宋体" w:hAnsi="宋体" w:eastAsia="宋体"/>
                <w:sz w:val="21"/>
              </w:rPr>
              <w:t>用户认证</w:t>
            </w:r>
          </w:p>
        </w:tc>
        <w:tc>
          <w:tcPr>
            <w:tcW w:type="dxa" w:w="1728"/>
          </w:tcPr>
          <w:p>
            <w:pPr>
              <w:jc w:val="center"/>
            </w:pPr>
            <w:r>
              <w:rPr>
                <w:rFonts w:ascii="宋体" w:hAnsi="宋体" w:eastAsia="宋体"/>
                <w:sz w:val="21"/>
              </w:rPr>
              <w:t>输入错误密码登录</w:t>
            </w:r>
          </w:p>
        </w:tc>
        <w:tc>
          <w:tcPr>
            <w:tcW w:type="dxa" w:w="1728"/>
          </w:tcPr>
          <w:p>
            <w:pPr>
              <w:jc w:val="center"/>
            </w:pPr>
            <w:r>
              <w:rPr>
                <w:rFonts w:ascii="宋体" w:hAnsi="宋体" w:eastAsia="宋体"/>
                <w:sz w:val="21"/>
              </w:rPr>
              <w:t>提示"用户名或密码错误"</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TC-05</w:t>
            </w:r>
          </w:p>
        </w:tc>
        <w:tc>
          <w:tcPr>
            <w:tcW w:type="dxa" w:w="1728"/>
          </w:tcPr>
          <w:p>
            <w:pPr>
              <w:jc w:val="center"/>
            </w:pPr>
            <w:r>
              <w:rPr>
                <w:rFonts w:ascii="宋体" w:hAnsi="宋体" w:eastAsia="宋体"/>
                <w:sz w:val="21"/>
              </w:rPr>
              <w:t>房源管理</w:t>
            </w:r>
          </w:p>
        </w:tc>
        <w:tc>
          <w:tcPr>
            <w:tcW w:type="dxa" w:w="1728"/>
          </w:tcPr>
          <w:p>
            <w:pPr>
              <w:jc w:val="center"/>
            </w:pPr>
            <w:r>
              <w:rPr>
                <w:rFonts w:ascii="宋体" w:hAnsi="宋体" w:eastAsia="宋体"/>
                <w:sz w:val="21"/>
              </w:rPr>
              <w:t>房东填写完整信息发布房源</w:t>
            </w:r>
          </w:p>
        </w:tc>
        <w:tc>
          <w:tcPr>
            <w:tcW w:type="dxa" w:w="1728"/>
          </w:tcPr>
          <w:p>
            <w:pPr>
              <w:jc w:val="center"/>
            </w:pPr>
            <w:r>
              <w:rPr>
                <w:rFonts w:ascii="宋体" w:hAnsi="宋体" w:eastAsia="宋体"/>
                <w:sz w:val="21"/>
              </w:rPr>
              <w:t>发布成功，状态为待审核</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TC-06</w:t>
            </w:r>
          </w:p>
        </w:tc>
        <w:tc>
          <w:tcPr>
            <w:tcW w:type="dxa" w:w="1728"/>
          </w:tcPr>
          <w:p>
            <w:pPr>
              <w:jc w:val="center"/>
            </w:pPr>
            <w:r>
              <w:rPr>
                <w:rFonts w:ascii="宋体" w:hAnsi="宋体" w:eastAsia="宋体"/>
                <w:sz w:val="21"/>
              </w:rPr>
              <w:t>房源管理</w:t>
            </w:r>
          </w:p>
        </w:tc>
        <w:tc>
          <w:tcPr>
            <w:tcW w:type="dxa" w:w="1728"/>
          </w:tcPr>
          <w:p>
            <w:pPr>
              <w:jc w:val="center"/>
            </w:pPr>
            <w:r>
              <w:rPr>
                <w:rFonts w:ascii="宋体" w:hAnsi="宋体" w:eastAsia="宋体"/>
                <w:sz w:val="21"/>
              </w:rPr>
              <w:t>验证三类房东标签显示</w:t>
            </w:r>
          </w:p>
        </w:tc>
        <w:tc>
          <w:tcPr>
            <w:tcW w:type="dxa" w:w="1728"/>
          </w:tcPr>
          <w:p>
            <w:pPr>
              <w:jc w:val="center"/>
            </w:pPr>
            <w:r>
              <w:rPr>
                <w:rFonts w:ascii="宋体" w:hAnsi="宋体" w:eastAsia="宋体"/>
                <w:sz w:val="21"/>
              </w:rPr>
              <w:t>列表分别显示绿/橙/蓝色标签</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TC-07</w:t>
            </w:r>
          </w:p>
        </w:tc>
        <w:tc>
          <w:tcPr>
            <w:tcW w:type="dxa" w:w="1728"/>
          </w:tcPr>
          <w:p>
            <w:pPr>
              <w:jc w:val="center"/>
            </w:pPr>
            <w:r>
              <w:rPr>
                <w:rFonts w:ascii="宋体" w:hAnsi="宋体" w:eastAsia="宋体"/>
                <w:sz w:val="21"/>
              </w:rPr>
              <w:t>房源管理</w:t>
            </w:r>
          </w:p>
        </w:tc>
        <w:tc>
          <w:tcPr>
            <w:tcW w:type="dxa" w:w="1728"/>
          </w:tcPr>
          <w:p>
            <w:pPr>
              <w:jc w:val="center"/>
            </w:pPr>
            <w:r>
              <w:rPr>
                <w:rFonts w:ascii="宋体" w:hAnsi="宋体" w:eastAsia="宋体"/>
                <w:sz w:val="21"/>
              </w:rPr>
              <w:t>验证五项费用明细展示</w:t>
            </w:r>
          </w:p>
        </w:tc>
        <w:tc>
          <w:tcPr>
            <w:tcW w:type="dxa" w:w="1728"/>
          </w:tcPr>
          <w:p>
            <w:pPr>
              <w:jc w:val="center"/>
            </w:pPr>
            <w:r>
              <w:rPr>
                <w:rFonts w:ascii="宋体" w:hAnsi="宋体" w:eastAsia="宋体"/>
                <w:sz w:val="21"/>
              </w:rPr>
              <w:t>详情页完整显示水电燃气物业网络费用</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TC-08</w:t>
            </w:r>
          </w:p>
        </w:tc>
        <w:tc>
          <w:tcPr>
            <w:tcW w:type="dxa" w:w="1728"/>
          </w:tcPr>
          <w:p>
            <w:pPr>
              <w:jc w:val="center"/>
            </w:pPr>
            <w:r>
              <w:rPr>
                <w:rFonts w:ascii="宋体" w:hAnsi="宋体" w:eastAsia="宋体"/>
                <w:sz w:val="21"/>
              </w:rPr>
              <w:t>房源管理</w:t>
            </w:r>
          </w:p>
        </w:tc>
        <w:tc>
          <w:tcPr>
            <w:tcW w:type="dxa" w:w="1728"/>
          </w:tcPr>
          <w:p>
            <w:pPr>
              <w:jc w:val="center"/>
            </w:pPr>
            <w:r>
              <w:rPr>
                <w:rFonts w:ascii="宋体" w:hAnsi="宋体" w:eastAsia="宋体"/>
                <w:sz w:val="21"/>
              </w:rPr>
              <w:t>按城市+价格区间搜索房源</w:t>
            </w:r>
          </w:p>
        </w:tc>
        <w:tc>
          <w:tcPr>
            <w:tcW w:type="dxa" w:w="1728"/>
          </w:tcPr>
          <w:p>
            <w:pPr>
              <w:jc w:val="center"/>
            </w:pPr>
            <w:r>
              <w:rPr>
                <w:rFonts w:ascii="宋体" w:hAnsi="宋体" w:eastAsia="宋体"/>
                <w:sz w:val="21"/>
              </w:rPr>
              <w:t>仅返回符合条件的房源</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TC-09</w:t>
            </w:r>
          </w:p>
        </w:tc>
        <w:tc>
          <w:tcPr>
            <w:tcW w:type="dxa" w:w="1728"/>
          </w:tcPr>
          <w:p>
            <w:pPr>
              <w:jc w:val="center"/>
            </w:pPr>
            <w:r>
              <w:rPr>
                <w:rFonts w:ascii="宋体" w:hAnsi="宋体" w:eastAsia="宋体"/>
                <w:sz w:val="21"/>
              </w:rPr>
              <w:t>租赁业务</w:t>
            </w:r>
          </w:p>
        </w:tc>
        <w:tc>
          <w:tcPr>
            <w:tcW w:type="dxa" w:w="1728"/>
          </w:tcPr>
          <w:p>
            <w:pPr>
              <w:jc w:val="center"/>
            </w:pPr>
            <w:r>
              <w:rPr>
                <w:rFonts w:ascii="宋体" w:hAnsi="宋体" w:eastAsia="宋体"/>
                <w:sz w:val="21"/>
              </w:rPr>
              <w:t>租客提交租赁意向</w:t>
            </w:r>
          </w:p>
        </w:tc>
        <w:tc>
          <w:tcPr>
            <w:tcW w:type="dxa" w:w="1728"/>
          </w:tcPr>
          <w:p>
            <w:pPr>
              <w:jc w:val="center"/>
            </w:pPr>
            <w:r>
              <w:rPr>
                <w:rFonts w:ascii="宋体" w:hAnsi="宋体" w:eastAsia="宋体"/>
                <w:sz w:val="21"/>
              </w:rPr>
              <w:t>订单创建成功，状态PENDING</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TC-10</w:t>
            </w:r>
          </w:p>
        </w:tc>
        <w:tc>
          <w:tcPr>
            <w:tcW w:type="dxa" w:w="1728"/>
          </w:tcPr>
          <w:p>
            <w:pPr>
              <w:jc w:val="center"/>
            </w:pPr>
            <w:r>
              <w:rPr>
                <w:rFonts w:ascii="宋体" w:hAnsi="宋体" w:eastAsia="宋体"/>
                <w:sz w:val="21"/>
              </w:rPr>
              <w:t>租赁业务</w:t>
            </w:r>
          </w:p>
        </w:tc>
        <w:tc>
          <w:tcPr>
            <w:tcW w:type="dxa" w:w="1728"/>
          </w:tcPr>
          <w:p>
            <w:pPr>
              <w:jc w:val="center"/>
            </w:pPr>
            <w:r>
              <w:rPr>
                <w:rFonts w:ascii="宋体" w:hAnsi="宋体" w:eastAsia="宋体"/>
                <w:sz w:val="21"/>
              </w:rPr>
              <w:t>房东审批通过订单</w:t>
            </w:r>
          </w:p>
        </w:tc>
        <w:tc>
          <w:tcPr>
            <w:tcW w:type="dxa" w:w="1728"/>
          </w:tcPr>
          <w:p>
            <w:pPr>
              <w:jc w:val="center"/>
            </w:pPr>
            <w:r>
              <w:rPr>
                <w:rFonts w:ascii="宋体" w:hAnsi="宋体" w:eastAsia="宋体"/>
                <w:sz w:val="21"/>
              </w:rPr>
              <w:t>状态变为APPROVED，租客收到通知</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TC-11</w:t>
            </w:r>
          </w:p>
        </w:tc>
        <w:tc>
          <w:tcPr>
            <w:tcW w:type="dxa" w:w="1728"/>
          </w:tcPr>
          <w:p>
            <w:pPr>
              <w:jc w:val="center"/>
            </w:pPr>
            <w:r>
              <w:rPr>
                <w:rFonts w:ascii="宋体" w:hAnsi="宋体" w:eastAsia="宋体"/>
                <w:sz w:val="21"/>
              </w:rPr>
              <w:t>租赁业务</w:t>
            </w:r>
          </w:p>
        </w:tc>
        <w:tc>
          <w:tcPr>
            <w:tcW w:type="dxa" w:w="1728"/>
          </w:tcPr>
          <w:p>
            <w:pPr>
              <w:jc w:val="center"/>
            </w:pPr>
            <w:r>
              <w:rPr>
                <w:rFonts w:ascii="宋体" w:hAnsi="宋体" w:eastAsia="宋体"/>
                <w:sz w:val="21"/>
              </w:rPr>
              <w:t>租客取消自有订单</w:t>
            </w:r>
          </w:p>
        </w:tc>
        <w:tc>
          <w:tcPr>
            <w:tcW w:type="dxa" w:w="1728"/>
          </w:tcPr>
          <w:p>
            <w:pPr>
              <w:jc w:val="center"/>
            </w:pPr>
            <w:r>
              <w:rPr>
                <w:rFonts w:ascii="宋体" w:hAnsi="宋体" w:eastAsia="宋体"/>
                <w:sz w:val="21"/>
              </w:rPr>
              <w:t>状态变为CANCELLED</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TC-12</w:t>
            </w:r>
          </w:p>
        </w:tc>
        <w:tc>
          <w:tcPr>
            <w:tcW w:type="dxa" w:w="1728"/>
          </w:tcPr>
          <w:p>
            <w:pPr>
              <w:jc w:val="center"/>
            </w:pPr>
            <w:r>
              <w:rPr>
                <w:rFonts w:ascii="宋体" w:hAnsi="宋体" w:eastAsia="宋体"/>
                <w:sz w:val="21"/>
              </w:rPr>
              <w:t>合同管理</w:t>
            </w:r>
          </w:p>
        </w:tc>
        <w:tc>
          <w:tcPr>
            <w:tcW w:type="dxa" w:w="1728"/>
          </w:tcPr>
          <w:p>
            <w:pPr>
              <w:jc w:val="center"/>
            </w:pPr>
            <w:r>
              <w:rPr>
                <w:rFonts w:ascii="宋体" w:hAnsi="宋体" w:eastAsia="宋体"/>
                <w:sz w:val="21"/>
              </w:rPr>
              <w:t>基于已审批订单生成合同</w:t>
            </w:r>
          </w:p>
        </w:tc>
        <w:tc>
          <w:tcPr>
            <w:tcW w:type="dxa" w:w="1728"/>
          </w:tcPr>
          <w:p>
            <w:pPr>
              <w:jc w:val="center"/>
            </w:pPr>
            <w:r>
              <w:rPr>
                <w:rFonts w:ascii="宋体" w:hAnsi="宋体" w:eastAsia="宋体"/>
                <w:sz w:val="21"/>
              </w:rPr>
              <w:t>合同生成，含风险检测结果</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TC-13</w:t>
            </w:r>
          </w:p>
        </w:tc>
        <w:tc>
          <w:tcPr>
            <w:tcW w:type="dxa" w:w="1728"/>
          </w:tcPr>
          <w:p>
            <w:pPr>
              <w:jc w:val="center"/>
            </w:pPr>
            <w:r>
              <w:rPr>
                <w:rFonts w:ascii="宋体" w:hAnsi="宋体" w:eastAsia="宋体"/>
                <w:sz w:val="21"/>
              </w:rPr>
              <w:t>合同管理</w:t>
            </w:r>
          </w:p>
        </w:tc>
        <w:tc>
          <w:tcPr>
            <w:tcW w:type="dxa" w:w="1728"/>
          </w:tcPr>
          <w:p>
            <w:pPr>
              <w:jc w:val="center"/>
            </w:pPr>
            <w:r>
              <w:rPr>
                <w:rFonts w:ascii="宋体" w:hAnsi="宋体" w:eastAsia="宋体"/>
                <w:sz w:val="21"/>
              </w:rPr>
              <w:t>租客与房东依次签署合同</w:t>
            </w:r>
          </w:p>
        </w:tc>
        <w:tc>
          <w:tcPr>
            <w:tcW w:type="dxa" w:w="1728"/>
          </w:tcPr>
          <w:p>
            <w:pPr>
              <w:jc w:val="center"/>
            </w:pPr>
            <w:r>
              <w:rPr>
                <w:rFonts w:ascii="宋体" w:hAnsi="宋体" w:eastAsia="宋体"/>
                <w:sz w:val="21"/>
              </w:rPr>
              <w:t>状态流转至FULLY_SIGNED</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TC-14</w:t>
            </w:r>
          </w:p>
        </w:tc>
        <w:tc>
          <w:tcPr>
            <w:tcW w:type="dxa" w:w="1728"/>
          </w:tcPr>
          <w:p>
            <w:pPr>
              <w:jc w:val="center"/>
            </w:pPr>
            <w:r>
              <w:rPr>
                <w:rFonts w:ascii="宋体" w:hAnsi="宋体" w:eastAsia="宋体"/>
                <w:sz w:val="21"/>
              </w:rPr>
              <w:t>合同管理</w:t>
            </w:r>
          </w:p>
        </w:tc>
        <w:tc>
          <w:tcPr>
            <w:tcW w:type="dxa" w:w="1728"/>
          </w:tcPr>
          <w:p>
            <w:pPr>
              <w:jc w:val="center"/>
            </w:pPr>
            <w:r>
              <w:rPr>
                <w:rFonts w:ascii="宋体" w:hAnsi="宋体" w:eastAsia="宋体"/>
                <w:sz w:val="21"/>
              </w:rPr>
              <w:t>押金设为5倍月租触发风险</w:t>
            </w:r>
          </w:p>
        </w:tc>
        <w:tc>
          <w:tcPr>
            <w:tcW w:type="dxa" w:w="1728"/>
          </w:tcPr>
          <w:p>
            <w:pPr>
              <w:jc w:val="center"/>
            </w:pPr>
            <w:r>
              <w:rPr>
                <w:rFonts w:ascii="宋体" w:hAnsi="宋体" w:eastAsia="宋体"/>
                <w:sz w:val="21"/>
              </w:rPr>
              <w:t>风险提示"押金超出常规范围"</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TC-15</w:t>
            </w:r>
          </w:p>
        </w:tc>
        <w:tc>
          <w:tcPr>
            <w:tcW w:type="dxa" w:w="1728"/>
          </w:tcPr>
          <w:p>
            <w:pPr>
              <w:jc w:val="center"/>
            </w:pPr>
            <w:r>
              <w:rPr>
                <w:rFonts w:ascii="宋体" w:hAnsi="宋体" w:eastAsia="宋体"/>
                <w:sz w:val="21"/>
              </w:rPr>
              <w:t>合同管理</w:t>
            </w:r>
          </w:p>
        </w:tc>
        <w:tc>
          <w:tcPr>
            <w:tcW w:type="dxa" w:w="1728"/>
          </w:tcPr>
          <w:p>
            <w:pPr>
              <w:jc w:val="center"/>
            </w:pPr>
            <w:r>
              <w:rPr>
                <w:rFonts w:ascii="宋体" w:hAnsi="宋体" w:eastAsia="宋体"/>
                <w:sz w:val="21"/>
              </w:rPr>
              <w:t>导出合同PDF</w:t>
            </w:r>
          </w:p>
        </w:tc>
        <w:tc>
          <w:tcPr>
            <w:tcW w:type="dxa" w:w="1728"/>
          </w:tcPr>
          <w:p>
            <w:pPr>
              <w:jc w:val="center"/>
            </w:pPr>
            <w:r>
              <w:rPr>
                <w:rFonts w:ascii="宋体" w:hAnsi="宋体" w:eastAsia="宋体"/>
                <w:sz w:val="21"/>
              </w:rPr>
              <w:t>浏览器下载完整PDF文件</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TC-16</w:t>
            </w:r>
          </w:p>
        </w:tc>
        <w:tc>
          <w:tcPr>
            <w:tcW w:type="dxa" w:w="1728"/>
          </w:tcPr>
          <w:p>
            <w:pPr>
              <w:jc w:val="center"/>
            </w:pPr>
            <w:r>
              <w:rPr>
                <w:rFonts w:ascii="宋体" w:hAnsi="宋体" w:eastAsia="宋体"/>
                <w:sz w:val="21"/>
              </w:rPr>
              <w:t>后台管理</w:t>
            </w:r>
          </w:p>
        </w:tc>
        <w:tc>
          <w:tcPr>
            <w:tcW w:type="dxa" w:w="1728"/>
          </w:tcPr>
          <w:p>
            <w:pPr>
              <w:jc w:val="center"/>
            </w:pPr>
            <w:r>
              <w:rPr>
                <w:rFonts w:ascii="宋体" w:hAnsi="宋体" w:eastAsia="宋体"/>
                <w:sz w:val="21"/>
              </w:rPr>
              <w:t>管理员审核通过待审房源</w:t>
            </w:r>
          </w:p>
        </w:tc>
        <w:tc>
          <w:tcPr>
            <w:tcW w:type="dxa" w:w="1728"/>
          </w:tcPr>
          <w:p>
            <w:pPr>
              <w:jc w:val="center"/>
            </w:pPr>
            <w:r>
              <w:rPr>
                <w:rFonts w:ascii="宋体" w:hAnsi="宋体" w:eastAsia="宋体"/>
                <w:sz w:val="21"/>
              </w:rPr>
              <w:t>房源状态变为ONLINE</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TC-17</w:t>
            </w:r>
          </w:p>
        </w:tc>
        <w:tc>
          <w:tcPr>
            <w:tcW w:type="dxa" w:w="1728"/>
          </w:tcPr>
          <w:p>
            <w:pPr>
              <w:jc w:val="center"/>
            </w:pPr>
            <w:r>
              <w:rPr>
                <w:rFonts w:ascii="宋体" w:hAnsi="宋体" w:eastAsia="宋体"/>
                <w:sz w:val="21"/>
              </w:rPr>
              <w:t>后台管理</w:t>
            </w:r>
          </w:p>
        </w:tc>
        <w:tc>
          <w:tcPr>
            <w:tcW w:type="dxa" w:w="1728"/>
          </w:tcPr>
          <w:p>
            <w:pPr>
              <w:jc w:val="center"/>
            </w:pPr>
            <w:r>
              <w:rPr>
                <w:rFonts w:ascii="宋体" w:hAnsi="宋体" w:eastAsia="宋体"/>
                <w:sz w:val="21"/>
              </w:rPr>
              <w:t>管理员封禁用户</w:t>
            </w:r>
          </w:p>
        </w:tc>
        <w:tc>
          <w:tcPr>
            <w:tcW w:type="dxa" w:w="1728"/>
          </w:tcPr>
          <w:p>
            <w:pPr>
              <w:jc w:val="center"/>
            </w:pPr>
            <w:r>
              <w:rPr>
                <w:rFonts w:ascii="宋体" w:hAnsi="宋体" w:eastAsia="宋体"/>
                <w:sz w:val="21"/>
              </w:rPr>
              <w:t>用户状态变为BANNED，无法登录</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TC-18</w:t>
            </w:r>
          </w:p>
        </w:tc>
        <w:tc>
          <w:tcPr>
            <w:tcW w:type="dxa" w:w="1728"/>
          </w:tcPr>
          <w:p>
            <w:pPr>
              <w:jc w:val="center"/>
            </w:pPr>
            <w:r>
              <w:rPr>
                <w:rFonts w:ascii="宋体" w:hAnsi="宋体" w:eastAsia="宋体"/>
                <w:sz w:val="21"/>
              </w:rPr>
              <w:t>后台管理</w:t>
            </w:r>
          </w:p>
        </w:tc>
        <w:tc>
          <w:tcPr>
            <w:tcW w:type="dxa" w:w="1728"/>
          </w:tcPr>
          <w:p>
            <w:pPr>
              <w:jc w:val="center"/>
            </w:pPr>
            <w:r>
              <w:rPr>
                <w:rFonts w:ascii="宋体" w:hAnsi="宋体" w:eastAsia="宋体"/>
                <w:sz w:val="21"/>
              </w:rPr>
              <w:t>普通用户访问管理接口</w:t>
            </w:r>
          </w:p>
        </w:tc>
        <w:tc>
          <w:tcPr>
            <w:tcW w:type="dxa" w:w="1728"/>
          </w:tcPr>
          <w:p>
            <w:pPr>
              <w:jc w:val="center"/>
            </w:pPr>
            <w:r>
              <w:rPr>
                <w:rFonts w:ascii="宋体" w:hAnsi="宋体" w:eastAsia="宋体"/>
                <w:sz w:val="21"/>
              </w:rPr>
              <w:t>返回403禁止访问</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TC-19</w:t>
            </w:r>
          </w:p>
        </w:tc>
        <w:tc>
          <w:tcPr>
            <w:tcW w:type="dxa" w:w="1728"/>
          </w:tcPr>
          <w:p>
            <w:pPr>
              <w:jc w:val="center"/>
            </w:pPr>
            <w:r>
              <w:rPr>
                <w:rFonts w:ascii="宋体" w:hAnsi="宋体" w:eastAsia="宋体"/>
                <w:sz w:val="21"/>
              </w:rPr>
              <w:t>安全性</w:t>
            </w:r>
          </w:p>
        </w:tc>
        <w:tc>
          <w:tcPr>
            <w:tcW w:type="dxa" w:w="1728"/>
          </w:tcPr>
          <w:p>
            <w:pPr>
              <w:jc w:val="center"/>
            </w:pPr>
            <w:r>
              <w:rPr>
                <w:rFonts w:ascii="宋体" w:hAnsi="宋体" w:eastAsia="宋体"/>
                <w:sz w:val="21"/>
              </w:rPr>
              <w:t>使用过期JWT令牌访问接口</w:t>
            </w:r>
          </w:p>
        </w:tc>
        <w:tc>
          <w:tcPr>
            <w:tcW w:type="dxa" w:w="1728"/>
          </w:tcPr>
          <w:p>
            <w:pPr>
              <w:jc w:val="center"/>
            </w:pPr>
            <w:r>
              <w:rPr>
                <w:rFonts w:ascii="宋体" w:hAnsi="宋体" w:eastAsia="宋体"/>
                <w:sz w:val="21"/>
              </w:rPr>
              <w:t>返回401未授权</w:t>
            </w:r>
          </w:p>
        </w:tc>
        <w:tc>
          <w:tcPr>
            <w:tcW w:type="dxa" w:w="1728"/>
          </w:tcPr>
          <w:p>
            <w:pPr>
              <w:jc w:val="center"/>
            </w:pPr>
            <w:r>
              <w:rPr>
                <w:rFonts w:ascii="宋体" w:hAnsi="宋体" w:eastAsia="宋体"/>
                <w:sz w:val="21"/>
              </w:rPr>
              <w:t>通过</w:t>
            </w:r>
          </w:p>
        </w:tc>
      </w:tr>
      <w:tr>
        <w:tc>
          <w:tcPr>
            <w:tcW w:type="dxa" w:w="1728"/>
          </w:tcPr>
          <w:p>
            <w:pPr>
              <w:jc w:val="center"/>
            </w:pPr>
            <w:r>
              <w:rPr>
                <w:rFonts w:ascii="宋体" w:hAnsi="宋体" w:eastAsia="宋体"/>
                <w:sz w:val="21"/>
              </w:rPr>
              <w:t>TC-20</w:t>
            </w:r>
          </w:p>
        </w:tc>
        <w:tc>
          <w:tcPr>
            <w:tcW w:type="dxa" w:w="1728"/>
          </w:tcPr>
          <w:p>
            <w:pPr>
              <w:jc w:val="center"/>
            </w:pPr>
            <w:r>
              <w:rPr>
                <w:rFonts w:ascii="宋体" w:hAnsi="宋体" w:eastAsia="宋体"/>
                <w:sz w:val="21"/>
              </w:rPr>
              <w:t>安全性</w:t>
            </w:r>
          </w:p>
        </w:tc>
        <w:tc>
          <w:tcPr>
            <w:tcW w:type="dxa" w:w="1728"/>
          </w:tcPr>
          <w:p>
            <w:pPr>
              <w:jc w:val="center"/>
            </w:pPr>
            <w:r>
              <w:rPr>
                <w:rFonts w:ascii="宋体" w:hAnsi="宋体" w:eastAsia="宋体"/>
                <w:sz w:val="21"/>
              </w:rPr>
              <w:t>搜索框输入SQL注入语句</w:t>
            </w:r>
          </w:p>
        </w:tc>
        <w:tc>
          <w:tcPr>
            <w:tcW w:type="dxa" w:w="1728"/>
          </w:tcPr>
          <w:p>
            <w:pPr>
              <w:jc w:val="center"/>
            </w:pPr>
            <w:r>
              <w:rPr>
                <w:rFonts w:ascii="宋体" w:hAnsi="宋体" w:eastAsia="宋体"/>
                <w:sz w:val="21"/>
              </w:rPr>
              <w:t>正常返回空结果，无数据泄露</w:t>
            </w:r>
          </w:p>
        </w:tc>
        <w:tc>
          <w:tcPr>
            <w:tcW w:type="dxa" w:w="1728"/>
          </w:tcPr>
          <w:p>
            <w:pPr>
              <w:jc w:val="center"/>
            </w:pPr>
            <w:r>
              <w:rPr>
                <w:rFonts w:ascii="宋体" w:hAnsi="宋体" w:eastAsia="宋体"/>
                <w:sz w:val="21"/>
              </w:rPr>
              <w:t>通过</w:t>
            </w:r>
          </w:p>
        </w:tc>
      </w:tr>
    </w:tbl>
    <w:p/>
    <w:p>
      <w:pPr>
        <w:pStyle w:val="Heading2"/>
      </w:pPr>
      <w:r>
        <w:rPr>
          <w:color w:val="000000"/>
        </w:rPr>
        <w:t>6.5 测试报告</w:t>
      </w:r>
    </w:p>
    <w:p>
      <w:pPr>
        <w:spacing w:line="560" w:lineRule="exact" w:after="80"/>
        <w:ind w:firstLine="420"/>
      </w:pPr>
      <w:r>
        <w:rPr>
          <w:rFonts w:ascii="宋体" w:hAnsi="宋体" w:eastAsia="宋体"/>
          <w:sz w:val="24"/>
        </w:rPr>
        <w:t>本次测试共执行20条核心用例，覆盖用户认证、房源管理、租赁业务、合同管理、后台管理及安全性六个维度。首轮测试中有3条用例未通过，具体情况如表6-3所示。</w:t>
      </w:r>
    </w:p>
    <w:p>
      <w:pPr>
        <w:spacing w:line="560" w:lineRule="exact" w:after="80"/>
      </w:pPr>
      <w:r>
        <w:rPr>
          <w:rFonts w:ascii="宋体" w:hAnsi="宋体" w:eastAsia="宋体"/>
          <w:b/>
          <w:sz w:val="24"/>
        </w:rPr>
        <w:t>表6-3 缺陷记录</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shd w:fill="D9E2F3" w:val="clear"/>
          </w:tcPr>
          <w:p>
            <w:pPr>
              <w:jc w:val="center"/>
            </w:pPr>
            <w:r>
              <w:rPr>
                <w:rFonts w:ascii="宋体" w:hAnsi="宋体" w:eastAsia="宋体"/>
                <w:b/>
                <w:sz w:val="21"/>
              </w:rPr>
              <w:t>缺陷编号</w:t>
            </w:r>
          </w:p>
        </w:tc>
        <w:tc>
          <w:tcPr>
            <w:tcW w:type="dxa" w:w="1728"/>
            <w:shd w:fill="D9E2F3" w:val="clear"/>
          </w:tcPr>
          <w:p>
            <w:pPr>
              <w:jc w:val="center"/>
            </w:pPr>
            <w:r>
              <w:rPr>
                <w:rFonts w:ascii="宋体" w:hAnsi="宋体" w:eastAsia="宋体"/>
                <w:b/>
                <w:sz w:val="21"/>
              </w:rPr>
              <w:t>所属模块</w:t>
            </w:r>
          </w:p>
        </w:tc>
        <w:tc>
          <w:tcPr>
            <w:tcW w:type="dxa" w:w="1728"/>
            <w:shd w:fill="D9E2F3" w:val="clear"/>
          </w:tcPr>
          <w:p>
            <w:pPr>
              <w:jc w:val="center"/>
            </w:pPr>
            <w:r>
              <w:rPr>
                <w:rFonts w:ascii="宋体" w:hAnsi="宋体" w:eastAsia="宋体"/>
                <w:b/>
                <w:sz w:val="21"/>
              </w:rPr>
              <w:t>问题描述</w:t>
            </w:r>
          </w:p>
        </w:tc>
        <w:tc>
          <w:tcPr>
            <w:tcW w:type="dxa" w:w="1728"/>
            <w:shd w:fill="D9E2F3" w:val="clear"/>
          </w:tcPr>
          <w:p>
            <w:pPr>
              <w:jc w:val="center"/>
            </w:pPr>
            <w:r>
              <w:rPr>
                <w:rFonts w:ascii="宋体" w:hAnsi="宋体" w:eastAsia="宋体"/>
                <w:b/>
                <w:sz w:val="21"/>
              </w:rPr>
              <w:t>修复措施</w:t>
            </w:r>
          </w:p>
        </w:tc>
        <w:tc>
          <w:tcPr>
            <w:tcW w:type="dxa" w:w="1728"/>
            <w:shd w:fill="D9E2F3" w:val="clear"/>
          </w:tcPr>
          <w:p>
            <w:pPr>
              <w:jc w:val="center"/>
            </w:pPr>
            <w:r>
              <w:rPr>
                <w:rFonts w:ascii="宋体" w:hAnsi="宋体" w:eastAsia="宋体"/>
                <w:b/>
                <w:sz w:val="21"/>
              </w:rPr>
              <w:t>状态</w:t>
            </w:r>
          </w:p>
        </w:tc>
      </w:tr>
      <w:tr>
        <w:tc>
          <w:tcPr>
            <w:tcW w:type="dxa" w:w="1728"/>
          </w:tcPr>
          <w:p>
            <w:pPr>
              <w:jc w:val="center"/>
            </w:pPr>
            <w:r>
              <w:rPr>
                <w:rFonts w:ascii="宋体" w:hAnsi="宋体" w:eastAsia="宋体"/>
                <w:sz w:val="21"/>
              </w:rPr>
              <w:t>BUG-01</w:t>
            </w:r>
          </w:p>
        </w:tc>
        <w:tc>
          <w:tcPr>
            <w:tcW w:type="dxa" w:w="1728"/>
          </w:tcPr>
          <w:p>
            <w:pPr>
              <w:jc w:val="center"/>
            </w:pPr>
            <w:r>
              <w:rPr>
                <w:rFonts w:ascii="宋体" w:hAnsi="宋体" w:eastAsia="宋体"/>
                <w:sz w:val="21"/>
              </w:rPr>
              <w:t>房源管理</w:t>
            </w:r>
          </w:p>
        </w:tc>
        <w:tc>
          <w:tcPr>
            <w:tcW w:type="dxa" w:w="1728"/>
          </w:tcPr>
          <w:p>
            <w:pPr>
              <w:jc w:val="center"/>
            </w:pPr>
            <w:r>
              <w:rPr>
                <w:rFonts w:ascii="宋体" w:hAnsi="宋体" w:eastAsia="宋体"/>
                <w:sz w:val="21"/>
              </w:rPr>
              <w:t>面积字段允许输入负数</w:t>
            </w:r>
          </w:p>
        </w:tc>
        <w:tc>
          <w:tcPr>
            <w:tcW w:type="dxa" w:w="1728"/>
          </w:tcPr>
          <w:p>
            <w:pPr>
              <w:jc w:val="center"/>
            </w:pPr>
            <w:r>
              <w:rPr>
                <w:rFonts w:ascii="宋体" w:hAnsi="宋体" w:eastAsia="宋体"/>
                <w:sz w:val="21"/>
              </w:rPr>
              <w:t>后端增加参数大于零校验</w:t>
            </w:r>
          </w:p>
        </w:tc>
        <w:tc>
          <w:tcPr>
            <w:tcW w:type="dxa" w:w="1728"/>
          </w:tcPr>
          <w:p>
            <w:pPr>
              <w:jc w:val="center"/>
            </w:pPr>
            <w:r>
              <w:rPr>
                <w:rFonts w:ascii="宋体" w:hAnsi="宋体" w:eastAsia="宋体"/>
                <w:sz w:val="21"/>
              </w:rPr>
              <w:t>已修复</w:t>
            </w:r>
          </w:p>
        </w:tc>
      </w:tr>
      <w:tr>
        <w:tc>
          <w:tcPr>
            <w:tcW w:type="dxa" w:w="1728"/>
          </w:tcPr>
          <w:p>
            <w:pPr>
              <w:jc w:val="center"/>
            </w:pPr>
            <w:r>
              <w:rPr>
                <w:rFonts w:ascii="宋体" w:hAnsi="宋体" w:eastAsia="宋体"/>
                <w:sz w:val="21"/>
              </w:rPr>
              <w:t>BUG-02</w:t>
            </w:r>
          </w:p>
        </w:tc>
        <w:tc>
          <w:tcPr>
            <w:tcW w:type="dxa" w:w="1728"/>
          </w:tcPr>
          <w:p>
            <w:pPr>
              <w:jc w:val="center"/>
            </w:pPr>
            <w:r>
              <w:rPr>
                <w:rFonts w:ascii="宋体" w:hAnsi="宋体" w:eastAsia="宋体"/>
                <w:sz w:val="21"/>
              </w:rPr>
              <w:t>合同管理</w:t>
            </w:r>
          </w:p>
        </w:tc>
        <w:tc>
          <w:tcPr>
            <w:tcW w:type="dxa" w:w="1728"/>
          </w:tcPr>
          <w:p>
            <w:pPr>
              <w:jc w:val="center"/>
            </w:pPr>
            <w:r>
              <w:rPr>
                <w:rFonts w:ascii="宋体" w:hAnsi="宋体" w:eastAsia="宋体"/>
                <w:sz w:val="21"/>
              </w:rPr>
              <w:t>PDF导出中文偶发乱码</w:t>
            </w:r>
          </w:p>
        </w:tc>
        <w:tc>
          <w:tcPr>
            <w:tcW w:type="dxa" w:w="1728"/>
          </w:tcPr>
          <w:p>
            <w:pPr>
              <w:jc w:val="center"/>
            </w:pPr>
            <w:r>
              <w:rPr>
                <w:rFonts w:ascii="宋体" w:hAnsi="宋体" w:eastAsia="宋体"/>
                <w:sz w:val="21"/>
              </w:rPr>
              <w:t>指定嵌入式中文字体</w:t>
            </w:r>
          </w:p>
        </w:tc>
        <w:tc>
          <w:tcPr>
            <w:tcW w:type="dxa" w:w="1728"/>
          </w:tcPr>
          <w:p>
            <w:pPr>
              <w:jc w:val="center"/>
            </w:pPr>
            <w:r>
              <w:rPr>
                <w:rFonts w:ascii="宋体" w:hAnsi="宋体" w:eastAsia="宋体"/>
                <w:sz w:val="21"/>
              </w:rPr>
              <w:t>已修复</w:t>
            </w:r>
          </w:p>
        </w:tc>
      </w:tr>
      <w:tr>
        <w:tc>
          <w:tcPr>
            <w:tcW w:type="dxa" w:w="1728"/>
          </w:tcPr>
          <w:p>
            <w:pPr>
              <w:jc w:val="center"/>
            </w:pPr>
            <w:r>
              <w:rPr>
                <w:rFonts w:ascii="宋体" w:hAnsi="宋体" w:eastAsia="宋体"/>
                <w:sz w:val="21"/>
              </w:rPr>
              <w:t>BUG-03</w:t>
            </w:r>
          </w:p>
        </w:tc>
        <w:tc>
          <w:tcPr>
            <w:tcW w:type="dxa" w:w="1728"/>
          </w:tcPr>
          <w:p>
            <w:pPr>
              <w:jc w:val="center"/>
            </w:pPr>
            <w:r>
              <w:rPr>
                <w:rFonts w:ascii="宋体" w:hAnsi="宋体" w:eastAsia="宋体"/>
                <w:sz w:val="21"/>
              </w:rPr>
              <w:t>安全性</w:t>
            </w:r>
          </w:p>
        </w:tc>
        <w:tc>
          <w:tcPr>
            <w:tcW w:type="dxa" w:w="1728"/>
          </w:tcPr>
          <w:p>
            <w:pPr>
              <w:jc w:val="center"/>
            </w:pPr>
            <w:r>
              <w:rPr>
                <w:rFonts w:ascii="宋体" w:hAnsi="宋体" w:eastAsia="宋体"/>
                <w:sz w:val="21"/>
              </w:rPr>
              <w:t>个别错误响应泄露表名</w:t>
            </w:r>
          </w:p>
        </w:tc>
        <w:tc>
          <w:tcPr>
            <w:tcW w:type="dxa" w:w="1728"/>
          </w:tcPr>
          <w:p>
            <w:pPr>
              <w:jc w:val="center"/>
            </w:pPr>
            <w:r>
              <w:rPr>
                <w:rFonts w:ascii="宋体" w:hAnsi="宋体" w:eastAsia="宋体"/>
                <w:sz w:val="21"/>
              </w:rPr>
              <w:t>全局异常处理统一返回通用提示</w:t>
            </w:r>
          </w:p>
        </w:tc>
        <w:tc>
          <w:tcPr>
            <w:tcW w:type="dxa" w:w="1728"/>
          </w:tcPr>
          <w:p>
            <w:pPr>
              <w:jc w:val="center"/>
            </w:pPr>
            <w:r>
              <w:rPr>
                <w:rFonts w:ascii="宋体" w:hAnsi="宋体" w:eastAsia="宋体"/>
                <w:sz w:val="21"/>
              </w:rPr>
              <w:t>已修复</w:t>
            </w:r>
          </w:p>
        </w:tc>
      </w:tr>
    </w:tbl>
    <w:p/>
    <w:p>
      <w:pPr>
        <w:spacing w:line="560" w:lineRule="exact" w:after="80"/>
        <w:ind w:firstLine="420"/>
      </w:pPr>
      <w:r>
        <w:rPr>
          <w:rFonts w:ascii="宋体" w:hAnsi="宋体" w:eastAsia="宋体"/>
          <w:sz w:val="24"/>
        </w:rPr>
        <w:t>经缺陷修复与回归验证，全部20条用例均通过测试，通过率100%。测试结果表明：系统各核心业务流程运行正常，三类房东标识与五项费用明细展示清晰，合同风险识别规则有效，JWT认证与角色权限控制机制可靠，系统整体质量满足设计要求，具备上线运行条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