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基于Spring Boot的房屋租赁系统设计与实现技术报告</w:t>
      </w:r>
    </w:p>
    <w:p>
      <w:pPr>
        <w:pStyle w:val="Heading2"/>
      </w:pPr>
      <w:r>
        <w:t>1.2 与本课题相关的国内外现状</w:t>
      </w:r>
    </w:p>
    <w:p>
      <w:r>
        <w:t>国内研究主要关注平台功能完善与交易效率提升。自如、贝壳、安居客等在房源聚合、线上沟通和电子签约方面已较成熟，但关键信息披露仍不充分。已有研究指出，转租与中介代管房源缺少统一、醒目的身份标识，租客在浏览阶段难以判断交易对象性质，容易放大决策风险[1]。关于费用透明的调研也表明，水电等生活成本披露不足是青年租客投诉高发原因，计费规则不清会抬高实际租住支出[2]。技术层面，混合推荐模型在租房匹配中的有效性已被验证[4]，Activiti在审批自动化中的可行性也较明确[6]，基于规则库的轻量级合同风控方法可识别常见风险条款[3]。但现有成果多停留在推荐、流程或风控的单点优化，缺少面向业务闭环的一体化落地方案。</w:t>
      </w:r>
    </w:p>
    <w:p>
      <w:r>
        <w:t>国外平台更强调“算法能力+制度约束”的协同建设。Zillow、Airbnb、ImmobilienScout24等在用户画像、信用评价和交互体验方面积累较深。相关研究显示，引入图神经网络后，用户—房源关系建模精度和推荐效果可明显提升[16]；基于规则引擎的合同审查工具能够自动识别押金过高、维修责任缺失等不公平条款，并已在城市试点中取得成效[17]；通过对接权属数据库开展房东真实性核验，也被证明可降低欺诈风险[18]。同时，欧盟数字服务法案对平台主体标识提出更明确要求，为信息披露提供了制度支撑[8]。不过，这类方案通常依赖高质量公共数据接口、完善信用基础设施和较高算力投入，直接移植到国内场景成本较高。总体看，如何在本土技术与监管条件下实现“身份透明、费用透明、推荐智能、合同风控前置”的系统化融合，仍是本课题需要解决的关键问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