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69553">
      <w:pPr>
        <w:spacing w:before="156" w:beforeLines="50" w:after="156" w:afterLines="50"/>
        <w:jc w:val="center"/>
        <w:rPr>
          <w:rFonts w:hint="eastAsia" w:ascii="Times New Roman" w:hAnsi="Times New Roman" w:eastAsia="黑体"/>
          <w:b/>
          <w:bCs w:val="0"/>
          <w:color w:val="auto"/>
          <w:sz w:val="32"/>
          <w:highlight w:val="none"/>
          <w:lang w:val="en-US" w:eastAsia="zh-CN"/>
        </w:rPr>
      </w:pPr>
      <w:r>
        <w:rPr>
          <w:rFonts w:hint="eastAsia" w:ascii="Times New Roman" w:hAnsi="Times New Roman" w:eastAsia="黑体"/>
          <w:b/>
          <w:bCs w:val="0"/>
          <w:color w:val="auto"/>
          <w:sz w:val="32"/>
          <w:highlight w:val="none"/>
          <w:lang w:val="en-US" w:eastAsia="zh-CN"/>
        </w:rPr>
        <w:t>“绿动未来”——一种面向地下管廊巡检机器人的</w:t>
      </w:r>
    </w:p>
    <w:p w14:paraId="1E485570">
      <w:pPr>
        <w:spacing w:before="156" w:beforeLines="50" w:after="156" w:afterLines="50"/>
        <w:jc w:val="center"/>
        <w:rPr>
          <w:rFonts w:ascii="Times New Roman" w:hAnsi="Times New Roman" w:eastAsia="黑体"/>
          <w:bCs/>
          <w:sz w:val="32"/>
          <w:szCs w:val="32"/>
        </w:rPr>
      </w:pPr>
      <w:r>
        <w:rPr>
          <w:rFonts w:hint="eastAsia" w:ascii="Times New Roman" w:hAnsi="Times New Roman" w:eastAsia="黑体"/>
          <w:b/>
          <w:bCs w:val="0"/>
          <w:color w:val="auto"/>
          <w:sz w:val="32"/>
          <w:highlight w:val="none"/>
          <w:lang w:val="en-US" w:eastAsia="zh-CN"/>
        </w:rPr>
        <w:t>光伏风力双驱供电</w:t>
      </w:r>
      <w:r>
        <w:rPr>
          <w:rFonts w:ascii="Times New Roman" w:hAnsi="Times New Roman" w:eastAsia="黑体"/>
          <w:b/>
          <w:bCs w:val="0"/>
          <w:sz w:val="32"/>
        </w:rPr>
        <w:t>系统说明书</w:t>
      </w:r>
    </w:p>
    <w:p w14:paraId="58026F98">
      <w:pPr>
        <w:spacing w:line="480" w:lineRule="exact"/>
        <w:jc w:val="center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</w:rPr>
        <w:t>设计者：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杨钰桁</w:t>
      </w:r>
      <w:r>
        <w:rPr>
          <w:rFonts w:hint="eastAsia" w:ascii="Times New Roman" w:hAnsi="Times New Roman"/>
          <w:sz w:val="24"/>
          <w:szCs w:val="24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于鹏鹏，黄煜良</w:t>
      </w:r>
    </w:p>
    <w:p w14:paraId="4DACE78C">
      <w:pPr>
        <w:spacing w:line="480" w:lineRule="exact"/>
        <w:jc w:val="center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</w:rPr>
        <w:t>指导教师：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潘宏烨，唐燕梅</w:t>
      </w:r>
    </w:p>
    <w:p w14:paraId="0424C11F">
      <w:pPr>
        <w:spacing w:line="480" w:lineRule="exac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（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西南交通</w:t>
      </w:r>
      <w:r>
        <w:rPr>
          <w:rFonts w:hint="eastAsia" w:ascii="Times New Roman" w:hAnsi="Times New Roman"/>
          <w:sz w:val="24"/>
          <w:szCs w:val="24"/>
        </w:rPr>
        <w:t>大学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机械工程</w:t>
      </w:r>
      <w:r>
        <w:rPr>
          <w:rFonts w:hint="eastAsia" w:ascii="Times New Roman" w:hAnsi="Times New Roman"/>
          <w:sz w:val="24"/>
          <w:szCs w:val="24"/>
        </w:rPr>
        <w:t>学院，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成都</w:t>
      </w:r>
      <w:r>
        <w:rPr>
          <w:rFonts w:ascii="Times New Roman" w:hAnsi="Times New Roman"/>
          <w:sz w:val="24"/>
          <w:szCs w:val="24"/>
        </w:rPr>
        <w:t>）</w:t>
      </w:r>
    </w:p>
    <w:p w14:paraId="238A0E31">
      <w:pPr>
        <w:spacing w:line="480" w:lineRule="exact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69018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eastAsia="黑体" w:cs="Times New Roman"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bCs/>
          <w:sz w:val="24"/>
          <w:szCs w:val="24"/>
        </w:rPr>
        <w:t>作品内容简介</w:t>
      </w:r>
    </w:p>
    <w:p w14:paraId="1E361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目前，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地下管廊已成为将传统管道运输集成和升级后的综合走廊，在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实施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各管道运输工作的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统一规划、统一设计、统一建设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起到决定性作用。而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地下管廊巡检机器人作为城市基础设施</w:t>
      </w:r>
      <w:r>
        <w:rPr>
          <w:rStyle w:val="15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智能化管理的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重要工具，其续航能力直接决定了巡检效率和覆盖范围。传统供电方式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依赖电池或外部电源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，存在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续航时间短、更换频繁、能源消耗大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等问题。</w:t>
      </w:r>
    </w:p>
    <w:p w14:paraId="3A37C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解决这一难题，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本文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创新地设计出一款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基于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地下管廊巡检机器人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的风光双驱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供电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装置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本装置通过采集地面上的风能和太阳能，为地下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管廊巡检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机器人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提供持续、稳定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能源支持。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其系统供电流程图如图1。</w:t>
      </w:r>
    </w:p>
    <w:p w14:paraId="6F87A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708660</wp:posOffset>
            </wp:positionH>
            <wp:positionV relativeFrom="paragraph">
              <wp:posOffset>179070</wp:posOffset>
            </wp:positionV>
            <wp:extent cx="5039995" cy="3426460"/>
            <wp:effectExtent l="0" t="0" r="1905" b="2540"/>
            <wp:wrapTopAndBottom/>
            <wp:docPr id="3" name="图片 3" descr="示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示意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18"/>
          <w:szCs w:val="18"/>
          <w:shd w:val="clear" w:fill="FFFFFF"/>
          <w:lang w:val="en-US" w:eastAsia="zh-CN"/>
        </w:rPr>
        <w:t>图1 系统供电流程</w:t>
      </w:r>
    </w:p>
    <w:p w14:paraId="40CB8B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kern w:val="2"/>
          <w:sz w:val="24"/>
          <w:szCs w:val="24"/>
          <w:shd w:val="clear" w:fill="FFFFFF"/>
          <w:lang w:val="en-US" w:eastAsia="zh-CN" w:bidi="ar-SA"/>
        </w:rPr>
        <w:t>（1）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kern w:val="2"/>
          <w:sz w:val="24"/>
          <w:szCs w:val="24"/>
          <w:shd w:val="clear" w:fill="FFFFFF"/>
          <w:lang w:val="en-US" w:eastAsia="zh-CN" w:bidi="ar-SA"/>
        </w:rPr>
        <w:t>地上模块：风光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采集。利用风力发电机采集风能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利用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装置顶部的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太阳能板采集太阳能。同时设计出一款基于文丘里效应和伯努利原理的导流罩来提高风速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，增加太阳能板散热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，进而提高风力发电机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和太阳能板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的发电效率。</w:t>
      </w:r>
    </w:p>
    <w:p w14:paraId="2EF1D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kern w:val="2"/>
          <w:sz w:val="24"/>
          <w:szCs w:val="24"/>
          <w:shd w:val="clear" w:fill="FFFFFF"/>
          <w:lang w:val="en-US" w:eastAsia="zh-CN" w:bidi="ar-SA"/>
        </w:rPr>
        <w:t>（2）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kern w:val="2"/>
          <w:sz w:val="24"/>
          <w:szCs w:val="24"/>
          <w:shd w:val="clear" w:fill="FFFFFF"/>
          <w:lang w:val="en-US" w:eastAsia="zh-CN" w:bidi="ar-SA"/>
        </w:rPr>
        <w:t>地下模块：无线充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电。将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地上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采集到的风能和太阳能转换为电能，储存在蓄电池中。将蓄电池中的电能输送到地下充电装置中。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基于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电磁感应原理，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装置内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的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发射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线圈通电后，会产生交变磁场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接收端的线圈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安装于巡检机器人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中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当地下管廊巡检机器人电量较低时，行驶到充电区就会停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靠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在充电装置旁，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交变磁场在接收线圈中感应出电流，从而实现能量的传输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进行充电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14"/>
          <w:szCs w:val="14"/>
          <w:shd w:val="clear" w:fill="FFFFFF"/>
        </w:rPr>
        <w:t>。</w:t>
      </w:r>
    </w:p>
    <w:p w14:paraId="0549C5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485140</wp:posOffset>
            </wp:positionH>
            <wp:positionV relativeFrom="page">
              <wp:posOffset>4424680</wp:posOffset>
            </wp:positionV>
            <wp:extent cx="5039995" cy="2520315"/>
            <wp:effectExtent l="0" t="0" r="1905" b="6985"/>
            <wp:wrapTopAndBottom/>
            <wp:docPr id="1" name="图片 1" descr="问题合集"/>
            <wp:cNvGraphicFramePr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picid" s:val="{f9098db0-a00b-4442-9830-276dddf0bef6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问题合集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2C36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kern w:val="2"/>
          <w:sz w:val="24"/>
          <w:szCs w:val="24"/>
          <w:shd w:val="clear" w:fill="FFFFFF"/>
          <w:lang w:val="en-US" w:eastAsia="zh-CN" w:bidi="ar-SA"/>
        </w:rPr>
        <w:t>风光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采集与</w:t>
      </w:r>
      <w:r>
        <w:rPr>
          <w:rFonts w:hint="eastAsia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无线充电</w:t>
      </w: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系统模型。此系统通过风力发电机和太阳能板进行能量采集，将采集到的能量转换为电能进行储存，同时通过无线充电装置对地下管廊巡检机器人进行充电，使得该系统是一种可持续系统，为地下管廊巡检机器人的供电提供了一种新方式。</w:t>
      </w:r>
    </w:p>
    <w:p w14:paraId="28E372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360" w:firstLineChars="20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C2C36"/>
          <w:spacing w:val="0"/>
          <w:sz w:val="18"/>
          <w:szCs w:val="18"/>
          <w:shd w:val="clear" w:fill="FFFFFF"/>
          <w:lang w:val="en-US" w:eastAsia="zh-CN"/>
        </w:rPr>
        <w:t>图2 地下巡检机器人供电面临问题</w:t>
      </w:r>
    </w:p>
    <w:p w14:paraId="49EF09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0" w:firstLineChars="0"/>
        <w:jc w:val="both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关键词：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地下管廊巡检机器人；风光互补；能量采集；无线充电</w:t>
      </w:r>
    </w:p>
    <w:p w14:paraId="5FB9A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0" w:firstLineChars="0"/>
        <w:jc w:val="both"/>
        <w:textAlignment w:val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</w:p>
    <w:p w14:paraId="7F546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0" w:firstLineChars="0"/>
        <w:jc w:val="both"/>
        <w:textAlignment w:val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</w:p>
    <w:p w14:paraId="5EDB6FE9">
      <w:pPr>
        <w:keepNext w:val="0"/>
        <w:keepLines w:val="0"/>
        <w:pageBreakBefore w:val="0"/>
        <w:tabs>
          <w:tab w:val="left" w:pos="893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eastAsia="黑体" w:cs="Times New Roman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Cs/>
          <w:sz w:val="24"/>
          <w:szCs w:val="24"/>
        </w:rPr>
        <w:t xml:space="preserve">1 </w:t>
      </w:r>
      <w:r>
        <w:rPr>
          <w:rFonts w:hint="default" w:ascii="Times New Roman" w:hAnsi="Times New Roman" w:eastAsia="黑体" w:cs="Times New Roman"/>
          <w:bCs/>
          <w:sz w:val="24"/>
          <w:szCs w:val="24"/>
          <w:lang w:val="en-US" w:eastAsia="zh-CN"/>
        </w:rPr>
        <w:t>背景与研究意义</w:t>
      </w:r>
      <w:r>
        <w:rPr>
          <w:rFonts w:hint="default" w:ascii="Times New Roman" w:hAnsi="Times New Roman" w:eastAsia="黑体" w:cs="Times New Roman"/>
          <w:bCs/>
          <w:sz w:val="24"/>
          <w:szCs w:val="24"/>
          <w:lang w:val="en-US" w:eastAsia="zh-CN"/>
        </w:rPr>
        <w:tab/>
      </w:r>
    </w:p>
    <w:p w14:paraId="453285E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00" w:afterAutospacing="0" w:line="48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随着清洁能源的推广应用，地下管廊作为一种新型管道运输集成体，在各类管道运输工作中发挥着决定性作用。然而，由于其工作环境位于城市地下，目前针对内部供电方案的研究相对较少。现有的大规模风力发电和太阳能发电站通常设立在郊区，距离地下管廊主干线较远，直接接入发出的电能不仅需要高昂的线路投资，还会导致途中能量的显著损耗。</w:t>
      </w:r>
    </w:p>
    <w:p w14:paraId="11F72AB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8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对于地下管廊的智能化管理，巡检机器人作为关键工具，其续航能力直接影响巡检效率和覆盖范围。传统的供电方式依赖于电池或外部电源，这带来了续航时间短、更换频繁及能源消耗大的问题。因此，寻求高效、可持续的供电解决方案显得尤为重要。</w:t>
      </w:r>
    </w:p>
    <w:p w14:paraId="1D06E1B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8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082EE2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eastAsia="黑体" w:cs="Times New Roman"/>
          <w:bCs/>
          <w:sz w:val="24"/>
          <w:lang w:eastAsia="zh-CN"/>
        </w:rPr>
      </w:pPr>
      <w:r>
        <w:rPr>
          <w:rFonts w:hint="default" w:ascii="Times New Roman" w:hAnsi="Times New Roman" w:eastAsia="黑体" w:cs="Times New Roman"/>
          <w:bCs/>
          <w:sz w:val="24"/>
        </w:rPr>
        <w:t xml:space="preserve">2 </w:t>
      </w:r>
      <w:r>
        <w:rPr>
          <w:rFonts w:hint="default" w:ascii="Times New Roman" w:hAnsi="Times New Roman" w:eastAsia="黑体" w:cs="Times New Roman"/>
          <w:bCs/>
          <w:sz w:val="24"/>
          <w:lang w:val="en-US" w:eastAsia="zh-CN"/>
        </w:rPr>
        <w:t>方案设计</w:t>
      </w:r>
    </w:p>
    <w:p w14:paraId="383F9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eastAsia="黑体" w:cs="Times New Roman"/>
          <w:bCs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bCs/>
          <w:sz w:val="24"/>
          <w:lang w:val="en-US" w:eastAsia="zh-CN"/>
        </w:rPr>
        <w:t>2.1系统主体设计</w:t>
      </w:r>
    </w:p>
    <w:p w14:paraId="2221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bCs/>
          <w:color w:val="auto"/>
          <w:sz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1536065</wp:posOffset>
            </wp:positionV>
            <wp:extent cx="2364105" cy="2335530"/>
            <wp:effectExtent l="0" t="0" r="0" b="0"/>
            <wp:wrapTopAndBottom/>
            <wp:docPr id="22" name="图片 2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Untitled"/>
                    <pic:cNvPicPr>
                      <a:picLocks noChangeAspect="1"/>
                    </pic:cNvPicPr>
                  </pic:nvPicPr>
                  <pic:blipFill>
                    <a:blip r:embed="rId8"/>
                    <a:srcRect l="29775" t="12574" r="24975" b="-999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本系统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由光伏发电装置、风力发电装置</w:t>
      </w:r>
      <w:r>
        <w:rPr>
          <w:rFonts w:hint="eastAsia" w:ascii="Times New Roman" w:hAnsi="Times New Roman" w:cs="Times New Roman"/>
          <w:bCs/>
          <w:sz w:val="24"/>
          <w:lang w:val="en-US" w:eastAsia="zh-CN"/>
        </w:rPr>
        <w:t>（地上模块）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与无线充电装置</w:t>
      </w:r>
      <w:r>
        <w:rPr>
          <w:rFonts w:hint="eastAsia" w:ascii="Times New Roman" w:hAnsi="Times New Roman" w:cs="Times New Roman"/>
          <w:bCs/>
          <w:sz w:val="24"/>
          <w:lang w:val="en-US" w:eastAsia="zh-CN"/>
        </w:rPr>
        <w:t>（地下模块）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构成，设计如</w:t>
      </w:r>
      <w:r>
        <w:rPr>
          <w:rFonts w:hint="default" w:ascii="Times New Roman" w:hAnsi="Times New Roman" w:cs="Times New Roman"/>
          <w:bCs/>
          <w:color w:val="auto"/>
          <w:sz w:val="24"/>
          <w:lang w:val="en-US" w:eastAsia="zh-CN"/>
        </w:rPr>
        <w:t>图3</w:t>
      </w:r>
      <w:r>
        <w:rPr>
          <w:rFonts w:hint="eastAsia" w:ascii="Times New Roman" w:hAnsi="Times New Roman" w:cs="Times New Roman"/>
          <w:bCs/>
          <w:color w:val="auto"/>
          <w:sz w:val="24"/>
          <w:lang w:val="en-US" w:eastAsia="zh-CN"/>
        </w:rPr>
        <w:t>、图4</w:t>
      </w:r>
      <w:r>
        <w:rPr>
          <w:rFonts w:hint="default" w:ascii="Times New Roman" w:hAnsi="Times New Roman" w:cs="Times New Roman"/>
          <w:bCs/>
          <w:color w:val="auto"/>
          <w:sz w:val="24"/>
          <w:lang w:val="en-US" w:eastAsia="zh-CN"/>
        </w:rPr>
        <w:t>所示。</w:t>
      </w:r>
    </w:p>
    <w:p w14:paraId="506C4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Cs/>
          <w:color w:val="auto"/>
          <w:sz w:val="24"/>
          <w:lang w:val="en-US" w:eastAsia="zh-CN"/>
        </w:rPr>
        <w:t>地上模块。</w:t>
      </w:r>
      <w:r>
        <w:rPr>
          <w:rFonts w:hint="default" w:ascii="Times New Roman" w:hAnsi="Times New Roman" w:cs="Times New Roman"/>
          <w:bCs/>
          <w:color w:val="auto"/>
          <w:sz w:val="24"/>
          <w:lang w:val="en-US" w:eastAsia="zh-CN"/>
        </w:rPr>
        <w:t>光伏发电装置（太阳能板）位于最上方，以确保能接收</w:t>
      </w:r>
      <w:r>
        <w:rPr>
          <w:rFonts w:hint="eastAsia" w:ascii="Times New Roman" w:hAnsi="Times New Roman" w:cs="Times New Roman"/>
          <w:bCs/>
          <w:color w:val="auto"/>
          <w:sz w:val="24"/>
          <w:lang w:val="en-US" w:eastAsia="zh-CN"/>
        </w:rPr>
        <w:t>更多的光能，</w:t>
      </w:r>
      <w:r>
        <w:rPr>
          <w:rFonts w:hint="default" w:ascii="Times New Roman" w:hAnsi="Times New Roman" w:cs="Times New Roman"/>
          <w:bCs/>
          <w:color w:val="auto"/>
          <w:sz w:val="24"/>
          <w:lang w:val="en-US" w:eastAsia="zh-CN"/>
        </w:rPr>
        <w:t>风力发电部分位于中部，主体由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微型垂直轴风力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发电机与导流罩构成，风力带动风叶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旋转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通过电机实现机械能转换为电能。储能部分采用铅蓄电池，确保对巡检机器人的稳定供电。</w:t>
      </w:r>
    </w:p>
    <w:p w14:paraId="7D1A55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 xml:space="preserve">图3 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地上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系统整体外形</w:t>
      </w:r>
    </w:p>
    <w:p w14:paraId="1C95D3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4E4D7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地下模块。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无线充电装置由芯片和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发射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线圈组成，如图所示。从蓄电池出来的直流电经过芯片，产生交变电流。当电流流过发射线圈时，会形成一个交变的磁场。这一磁场会穿越空气并作用于接收设备（巡检机器人）内部的接收线圈。接收线圈在感应到变化的磁场后，会在其内部产生电流，再将其转换成直流电，从而实现对巡检机器人的充电。</w:t>
      </w:r>
    </w:p>
    <w:p w14:paraId="2979E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1945640</wp:posOffset>
            </wp:positionH>
            <wp:positionV relativeFrom="paragraph">
              <wp:posOffset>137795</wp:posOffset>
            </wp:positionV>
            <wp:extent cx="1994535" cy="1990090"/>
            <wp:effectExtent l="0" t="0" r="12065" b="3810"/>
            <wp:wrapTopAndBottom/>
            <wp:docPr id="24" name="图片 2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"/>
                    <pic:cNvPicPr>
                      <a:picLocks noChangeAspect="1"/>
                    </pic:cNvPicPr>
                  </pic:nvPicPr>
                  <pic:blipFill>
                    <a:blip r:embed="rId9"/>
                    <a:srcRect l="28967" t="10918" r="25895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图4 无线充电装置外形</w:t>
      </w:r>
    </w:p>
    <w:p w14:paraId="50BC9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796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3理论设计计算</w:t>
      </w:r>
    </w:p>
    <w:p w14:paraId="5BC7D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3.1光伏发电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装置</w:t>
      </w:r>
    </w:p>
    <w:p w14:paraId="609CEE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480" w:lineRule="exact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STC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标准测试条件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是太阳能板性能测试的标准条件，包括25°C的温度、1000 W/m²的辐照度和AM1.5的光谱分布。太阳能板的效率与温度之间的关系可以用一个经验公式来描述，通常表示为：</w:t>
      </w:r>
    </w:p>
    <w:p w14:paraId="6EA977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480" w:lineRule="exact"/>
        <w:ind w:left="0" w:leftChars="0" w:right="0" w:rightChars="0" w:firstLine="480" w:firstLineChars="200"/>
        <w:jc w:val="center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hAnsi="Cambria Math" w:cs="Times New Roman"/>
          <w:i w:val="0"/>
          <w:caps w:val="0"/>
          <w:color w:val="24292E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              </w:t>
      </w:r>
      <m:oMath>
        <m:r>
          <m:rPr/>
          <w:rPr>
            <w:rFonts w:hint="default" w:ascii="Cambria Math" w:hAnsi="Cambria Math" w:cs="Times New Roman"/>
            <w:caps w:val="0"/>
            <w:color w:val="24292E"/>
            <w:spacing w:val="0"/>
            <w:kern w:val="2"/>
            <w:sz w:val="24"/>
            <w:szCs w:val="24"/>
            <w:shd w:val="clear" w:fill="FFFFFF"/>
            <w:lang w:val="en-US" w:eastAsia="zh-CN" w:bidi="ar-SA"/>
          </w:rPr>
          <m:t>η(T)=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η</m:t>
            </m: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STC</m:t>
            </m: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aps w:val="0"/>
            <w:color w:val="24292E"/>
            <w:spacing w:val="0"/>
            <w:kern w:val="2"/>
            <w:sz w:val="24"/>
            <w:szCs w:val="24"/>
            <w:shd w:val="clear" w:fill="FFFFFF"/>
            <w:lang w:val="en-US" w:bidi="ar-SA"/>
          </w:rPr>
          <m:t>×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1+</m:t>
            </m:r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bidi="ar-SA"/>
              </w:rPr>
              <m:t>β</m:t>
            </m:r>
            <m:d>
              <m:dPr>
                <m:ctrlPr>
                  <w:rPr>
                    <w:rFonts w:hint="default" w:ascii="Cambria Math" w:hAnsi="Cambria Math" w:cs="Times New Roman"/>
                    <w:i/>
                    <w:iCs/>
                    <w:caps w:val="0"/>
                    <w:color w:val="24292E"/>
                    <w:spacing w:val="0"/>
                    <w:kern w:val="2"/>
                    <w:sz w:val="24"/>
                    <w:szCs w:val="24"/>
                    <w:shd w:val="clear" w:fill="FFFFFF"/>
                    <w:lang w:val="en-US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/>
                    <w:caps w:val="0"/>
                    <w:color w:val="24292E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  <m:t>T−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  <w:iCs/>
                        <w:caps w:val="0"/>
                        <w:color w:val="24292E"/>
                        <w:spacing w:val="0"/>
                        <w:kern w:val="2"/>
                        <w:sz w:val="24"/>
                        <w:szCs w:val="24"/>
                        <w:shd w:val="clear" w:fill="FFFFFF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caps w:val="0"/>
                        <w:color w:val="24292E"/>
                        <w:spacing w:val="0"/>
                        <w:kern w:val="2"/>
                        <w:sz w:val="24"/>
                        <w:szCs w:val="24"/>
                        <w:shd w:val="clear" w:fill="FFFFFF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iCs/>
                        <w:caps w:val="0"/>
                        <w:color w:val="24292E"/>
                        <w:spacing w:val="0"/>
                        <w:kern w:val="2"/>
                        <w:sz w:val="24"/>
                        <w:szCs w:val="24"/>
                        <w:shd w:val="clear" w:fill="FFFFFF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caps w:val="0"/>
                        <w:color w:val="24292E"/>
                        <w:spacing w:val="0"/>
                        <w:kern w:val="2"/>
                        <w:sz w:val="24"/>
                        <w:szCs w:val="24"/>
                        <w:shd w:val="clear" w:fill="FFFFFF"/>
                        <w:lang w:val="en-US" w:eastAsia="zh-CN" w:bidi="ar-SA"/>
                      </w:rPr>
                      <m:t>STC</m:t>
                    </m:r>
                    <m:ctrlPr>
                      <w:rPr>
                        <w:rFonts w:hint="default" w:ascii="Cambria Math" w:hAnsi="Cambria Math" w:cs="Times New Roman"/>
                        <w:i/>
                        <w:iCs/>
                        <w:caps w:val="0"/>
                        <w:color w:val="24292E"/>
                        <w:spacing w:val="0"/>
                        <w:kern w:val="2"/>
                        <w:sz w:val="24"/>
                        <w:szCs w:val="24"/>
                        <w:shd w:val="clear" w:fill="FFFFFF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iCs/>
                    <w:caps w:val="0"/>
                    <w:color w:val="24292E"/>
                    <w:spacing w:val="0"/>
                    <w:kern w:val="2"/>
                    <w:sz w:val="24"/>
                    <w:szCs w:val="24"/>
                    <w:shd w:val="clear" w:fill="FFFFFF"/>
                    <w:lang w:val="en-US" w:bidi="ar-SA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iCs/>
          <w:caps w:val="0"/>
          <w:color w:val="24292E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eastAsia" w:hAnsi="Cambria Math" w:cs="Times New Roman"/>
          <w:i w:val="0"/>
          <w:iCs/>
          <w:caps w:val="0"/>
          <w:color w:val="24292E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eastAsia" w:hAnsi="Cambria Math" w:cs="Times New Roman"/>
          <w:i w:val="0"/>
          <w:iCs/>
          <w:caps w:val="0"/>
          <w:color w:val="24292E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eastAsia" w:hAnsi="Cambria Math" w:cs="Times New Roman"/>
          <w:i w:val="0"/>
          <w:iCs/>
          <w:caps w:val="0"/>
          <w:color w:val="24292E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Times New Roman" w:hAnsi="Times New Roman" w:cs="Times New Roman"/>
          <w:i w:val="0"/>
          <w:iCs w:val="0"/>
          <w:caps w:val="0"/>
          <w:color w:val="24292E"/>
          <w:spacing w:val="0"/>
          <w:kern w:val="2"/>
          <w:sz w:val="24"/>
          <w:szCs w:val="24"/>
          <w:shd w:val="clear" w:fill="FFFFFF"/>
          <w:lang w:val="en-US" w:eastAsia="zh-CN" w:bidi="ar-SA"/>
        </w:rPr>
        <w:t>(1-1)</w:t>
      </w:r>
    </w:p>
    <w:p w14:paraId="1B2003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480" w:lineRule="exact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其中：</w:t>
      </w:r>
      <w:r>
        <w:rPr>
          <w:rFonts w:hint="default" w:ascii="Times New Roman" w:hAnsi="Times New Roman" w:eastAsia="宋体" w:cs="Times New Roman"/>
          <w:i/>
          <w:iCs/>
          <w:caps w:val="0"/>
          <w:color w:val="24292E"/>
          <w:spacing w:val="0"/>
          <w:sz w:val="24"/>
          <w:szCs w:val="24"/>
          <w:shd w:val="clear" w:fill="FFFFFF"/>
        </w:rPr>
        <w:t>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宋体" w:cs="Times New Roman"/>
          <w:i/>
          <w:iCs/>
          <w:caps w:val="0"/>
          <w:color w:val="24292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)是太阳能板在温度</w:t>
      </w:r>
      <w:r>
        <w:rPr>
          <w:rFonts w:hint="default" w:ascii="Times New Roman" w:hAnsi="Times New Roman" w:eastAsia="宋体" w:cs="Times New Roman"/>
          <w:i/>
          <w:iCs/>
          <w:caps w:val="0"/>
          <w:color w:val="24292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下的效率。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η</m:t>
            </m: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STC</m:t>
            </m: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是太阳能板在标准测试条件（STC，Standard Test Conditions，通常为25°C）下的效率</w:t>
      </w:r>
      <w:r>
        <w:rPr>
          <w:rFonts w:hint="default" w:ascii="Times New Roman" w:hAnsi="Times New Roman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default" w:ascii="Times New Roman" w:hAnsi="Times New Roman" w:eastAsia="宋体" w:cs="Times New Roman"/>
          <w:i/>
          <w:iCs/>
          <w:caps w:val="0"/>
          <w:color w:val="24292E"/>
          <w:spacing w:val="0"/>
          <w:sz w:val="24"/>
          <w:szCs w:val="24"/>
          <w:shd w:val="clear" w:fill="FFFFFF"/>
        </w:rPr>
        <w:t>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是温度系数，表示每升高1°C时效率的相对变化率，通常为负值（例如-0.004/°C）。</w:t>
      </w:r>
      <w:r>
        <w:rPr>
          <w:rFonts w:hint="default" w:ascii="Times New Roman" w:hAnsi="Times New Roman" w:eastAsia="宋体" w:cs="Times New Roman"/>
          <w:i/>
          <w:iCs/>
          <w:caps w:val="0"/>
          <w:color w:val="24292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是太阳能板的实际温度。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STC</m:t>
            </m:r>
            <m:ctrlPr>
              <w:rPr>
                <w:rFonts w:hint="default" w:ascii="Cambria Math" w:hAnsi="Cambria Math" w:cs="Times New Roman"/>
                <w:i/>
                <w:iCs/>
                <w:caps w:val="0"/>
                <w:color w:val="24292E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是标准测试条件下的温度。</w:t>
      </w:r>
    </w:p>
    <w:p w14:paraId="408911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480" w:lineRule="exact"/>
        <w:ind w:right="0" w:rightChars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4292E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1053465</wp:posOffset>
            </wp:positionH>
            <wp:positionV relativeFrom="paragraph">
              <wp:posOffset>162560</wp:posOffset>
            </wp:positionV>
            <wp:extent cx="4311015" cy="2493010"/>
            <wp:effectExtent l="0" t="0" r="6985" b="8890"/>
            <wp:wrapTopAndBottom/>
            <wp:docPr id="6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i w:val="0"/>
          <w:iCs w:val="0"/>
          <w:caps w:val="0"/>
          <w:color w:val="24292E"/>
          <w:spacing w:val="0"/>
          <w:sz w:val="18"/>
          <w:szCs w:val="18"/>
          <w:shd w:val="clear" w:fill="FFFFFF"/>
          <w:lang w:val="en-US" w:eastAsia="zh-CN"/>
        </w:rPr>
        <w:t>图5 太阳能板发电效率与温度和太阳辐射的关系</w:t>
      </w:r>
    </w:p>
    <w:p w14:paraId="1B3ED6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480" w:lineRule="exact"/>
        <w:ind w:right="0" w:rightChars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4292E"/>
          <w:spacing w:val="0"/>
          <w:sz w:val="18"/>
          <w:szCs w:val="18"/>
          <w:shd w:val="clear" w:fill="FFFFFF"/>
          <w:lang w:val="en-US" w:eastAsia="zh-CN"/>
        </w:rPr>
      </w:pPr>
    </w:p>
    <w:p w14:paraId="58FDFB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line="48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color w:val="auto"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24"/>
          <w:szCs w:val="24"/>
        </w:rPr>
        <w:t xml:space="preserve">.2 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24"/>
          <w:szCs w:val="24"/>
          <w:lang w:val="en-US" w:eastAsia="zh-CN"/>
        </w:rPr>
        <w:t>风力发电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24"/>
          <w:szCs w:val="24"/>
          <w:lang w:val="en-US" w:eastAsia="zh-CN"/>
        </w:rPr>
        <w:t>装置</w:t>
      </w:r>
    </w:p>
    <w:p w14:paraId="539A77A1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设风轮前方的风速为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sz w:val="24"/>
          <w:szCs w:val="24"/>
        </w:rPr>
        <w:t>是实际通过风轮的风速，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是叶片扫掠后的风速，通过风轮叶片前风速面积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，叶片扫掠面的风速面积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及扫掠后风速面积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。风吹到叶片上所做的功是将风的动能转化为叶片转动的机械能，则必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＜v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＞s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。如图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所示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5A0E79E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1514475</wp:posOffset>
            </wp:positionH>
            <wp:positionV relativeFrom="paragraph">
              <wp:posOffset>225425</wp:posOffset>
            </wp:positionV>
            <wp:extent cx="3175635" cy="1508125"/>
            <wp:effectExtent l="0" t="0" r="12065" b="3175"/>
            <wp:wrapTopAndBottom/>
            <wp:docPr id="2" name="图片 2" descr="贝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贝兹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18"/>
          <w:szCs w:val="18"/>
        </w:rPr>
        <w:t>图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cs="Times New Roman"/>
          <w:sz w:val="18"/>
          <w:szCs w:val="18"/>
        </w:rPr>
        <w:t>贝茨(Betz)理论计算简图</w:t>
      </w:r>
    </w:p>
    <w:p w14:paraId="73AE4B3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left="1832" w:hanging="1832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v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  <w:szCs w:val="21"/>
        </w:rPr>
        <w:t xml:space="preserve">--风轮前方的风速   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v</w:t>
      </w:r>
      <w:r>
        <w:rPr>
          <w:rFonts w:hint="default" w:ascii="Times New Roman" w:hAnsi="Times New Roman" w:cs="Times New Roman"/>
          <w:sz w:val="21"/>
          <w:szCs w:val="21"/>
        </w:rPr>
        <w:t xml:space="preserve">--实际通过风轮的风速   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v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--叶片扫掠后的风速</w:t>
      </w:r>
    </w:p>
    <w:p w14:paraId="37C08EC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left="1831" w:hanging="1831"/>
        <w:jc w:val="center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  <w:szCs w:val="21"/>
        </w:rPr>
        <w:t xml:space="preserve">--通过风轮叶片前风速面积 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 xml:space="preserve"> s</w:t>
      </w:r>
      <w:r>
        <w:rPr>
          <w:rFonts w:hint="default" w:ascii="Times New Roman" w:hAnsi="Times New Roman" w:cs="Times New Roman"/>
          <w:sz w:val="21"/>
          <w:szCs w:val="21"/>
        </w:rPr>
        <w:t xml:space="preserve">--叶片扫掠面的风速面积  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s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--扫掠后风速面积</w:t>
      </w:r>
    </w:p>
    <w:p w14:paraId="7CEE7DC1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于是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=sv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</w:t>
      </w:r>
    </w:p>
    <w:p w14:paraId="7ECE0C51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风作用在叶片上的力由欧拉定理求得</w:t>
      </w:r>
    </w:p>
    <w:p w14:paraId="446E6ADB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right" w:pos="7328"/>
          <w:tab w:val="left" w:pos="8244"/>
          <w:tab w:val="right" w:leader="middleDot" w:pos="8400"/>
          <w:tab w:val="right" w:pos="882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    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F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=sv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)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-1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)</w:t>
      </w:r>
    </w:p>
    <w:p w14:paraId="281E658B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式中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--空气当时的密度。</w:t>
      </w:r>
    </w:p>
    <w:p w14:paraId="3E4D18E9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风轮所接受的功率为</w:t>
      </w:r>
    </w:p>
    <w:p w14:paraId="32302D60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N=Fv=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-2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)</w:t>
      </w:r>
    </w:p>
    <w:p w14:paraId="3D210A3E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经过风轮叶片的风的动能转化</w:t>
      </w:r>
    </w:p>
    <w:p w14:paraId="741877A3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△T=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sv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 xml:space="preserve">)/2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-3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)</w:t>
      </w:r>
    </w:p>
    <w:p w14:paraId="0A640B60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式中</w:t>
      </w:r>
      <w:r>
        <w:rPr>
          <w:rFonts w:hint="default" w:ascii="Times New Roman" w:hAnsi="Times New Roman" w:cs="Times New Roman"/>
          <w:sz w:val="24"/>
          <w:szCs w:val="24"/>
        </w:rPr>
        <w:t>sv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--空气质量。</w:t>
      </w:r>
    </w:p>
    <w:p w14:paraId="6E02BC58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N=△T</w:t>
      </w:r>
    </w:p>
    <w:p w14:paraId="60AE03B6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v=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（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+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）/2</w:t>
      </w:r>
    </w:p>
    <w:p w14:paraId="3AD9BCC9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风作用在风轮叶片上的力F和风轮输出的功率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分别为</w:t>
      </w:r>
    </w:p>
    <w:p w14:paraId="4B32A2B9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    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F=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 xml:space="preserve">)/2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-4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)</w:t>
      </w:r>
    </w:p>
    <w:p w14:paraId="33C5F43E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)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+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  <w:lang w:val="en-US" w:eastAsia="zh-CN"/>
        </w:rPr>
        <w:t>/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-5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)</w:t>
      </w:r>
    </w:p>
    <w:p w14:paraId="73C538E4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风速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是给定的，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的大小取决于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，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是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的函数，对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微分求最大值，得</w:t>
      </w:r>
    </w:p>
    <w:p w14:paraId="7D37FD2A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dN/d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-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3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)/4</w:t>
      </w:r>
    </w:p>
    <w:p w14:paraId="3E925051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另其等于0，求解方程，得</w:t>
      </w:r>
    </w:p>
    <w:p w14:paraId="6E9BCD91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=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/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3</w:t>
      </w:r>
    </w:p>
    <w:p w14:paraId="3C3FEF43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求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Nmax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得</w:t>
      </w:r>
    </w:p>
    <w:p w14:paraId="27E3DCA9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Nmax=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8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3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/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27</w:t>
      </w:r>
    </w:p>
    <w:p w14:paraId="5BA4E8EA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令16/27=0.593为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C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vertAlign w:val="subscript"/>
        </w:rPr>
        <w:t>P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，称为贝茨功率系数，有</w:t>
      </w:r>
    </w:p>
    <w:p w14:paraId="171D9E86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Nmax=C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vertAlign w:val="subscript"/>
        </w:rPr>
        <w:t>P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3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i w:val="0"/>
          <w:iCs w:val="0"/>
          <w:kern w:val="0"/>
          <w:sz w:val="24"/>
          <w:szCs w:val="24"/>
        </w:rPr>
        <w:t>/2</w:t>
      </w:r>
    </w:p>
    <w:p w14:paraId="7AB20A6E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>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sv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</w:rPr>
        <w:t>3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ρ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/2正是风速为</w:t>
      </w:r>
      <w:r>
        <w:rPr>
          <w:rFonts w:hint="default" w:ascii="Times New Roman" w:hAnsi="Times New Roman" w:cs="Times New Roman"/>
          <w:sz w:val="24"/>
          <w:szCs w:val="24"/>
        </w:rPr>
        <w:t>v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的风能T，故</w:t>
      </w:r>
    </w:p>
    <w:p w14:paraId="2706F351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     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Nmax=C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vertAlign w:val="subscript"/>
        </w:rPr>
        <w:t>P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 xml:space="preserve">T   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     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(2-6)</w:t>
      </w:r>
    </w:p>
    <w:p w14:paraId="31343562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C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  <w:vertAlign w:val="subscript"/>
        </w:rPr>
        <w:t>P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=0.593说明风吹在叶片上，叶片上所能获得的最大功率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Nmax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为风吹过叶片扫掠面积</w:t>
      </w:r>
      <w:r>
        <w:rPr>
          <w:rFonts w:hint="default" w:ascii="Times New Roman" w:hAnsi="Times New Roman" w:cs="Times New Roman"/>
          <w:i/>
          <w:iCs/>
          <w:kern w:val="0"/>
          <w:sz w:val="24"/>
          <w:szCs w:val="24"/>
        </w:rPr>
        <w:t>s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的风能的59.3％。</w:t>
      </w:r>
    </w:p>
    <w:p w14:paraId="65446A42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color w:val="auto"/>
          <w:kern w:val="0"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24"/>
          <w:lang w:val="en-US" w:eastAsia="zh-CN"/>
        </w:rPr>
        <w:t xml:space="preserve">3.3 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kern w:val="0"/>
          <w:sz w:val="24"/>
          <w:lang w:val="en-US" w:eastAsia="zh-CN"/>
        </w:rPr>
        <w:t>无线充电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kern w:val="0"/>
          <w:sz w:val="24"/>
          <w:lang w:val="en-US" w:eastAsia="zh-CN"/>
        </w:rPr>
        <w:t>装置</w:t>
      </w:r>
    </w:p>
    <w:p w14:paraId="280DB21A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</w:rPr>
        <w:t>无线充电系统由发射线圈（TX）和接收线圈（RX）组成，两者通过磁场耦合传输能量。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关键参数如下：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发射端输入功率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25" o:spt="75" type="#_x0000_t75" style="height:18pt;width:16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，接收端输出功率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2"/>
          <w:sz w:val="24"/>
          <w:szCs w:val="24"/>
          <w:lang w:val="en-US" w:eastAsia="zh-CN"/>
        </w:rPr>
        <w:object>
          <v:shape id="_x0000_i1026" o:spt="75" type="#_x0000_t75" style="height:19pt;width:1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，耦合系数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4"/>
          <w:sz w:val="24"/>
          <w:szCs w:val="24"/>
          <w:lang w:val="en-US" w:eastAsia="zh-CN"/>
        </w:rPr>
        <w:object>
          <v:shape id="_x0000_i1027" o:spt="75" type="#_x0000_t75" style="height:13pt;width:10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，线圈的品质因素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28" o:spt="75" type="#_x0000_t75" style="height:18pt;width:1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29" o:spt="75" type="#_x0000_t75" style="height:18pt;width:1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，工作频率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30" o:spt="75" type="#_x0000_t75" style="height:16pt;width:1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2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，线圈间的互感系数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4"/>
          <w:sz w:val="24"/>
          <w:szCs w:val="24"/>
          <w:lang w:val="en-US" w:eastAsia="zh-CN"/>
        </w:rPr>
        <w:object>
          <v:shape id="_x0000_i1031" o:spt="75" type="#_x0000_t75" style="height:13pt;width:1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4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，线圈的寄生电阻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32" o:spt="75" type="#_x0000_t75" style="height:18pt;width:1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6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33" o:spt="75" type="#_x0000_t75" style="height:18pt;width:16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，负载电阻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34" o:spt="75" type="#_x0000_t75" style="height:18pt;width:16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0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。</w:t>
      </w:r>
    </w:p>
    <w:p w14:paraId="257E40D4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在理想谐振条件下（发射端和接收端谐振频率一致），效率可近似为:</w:t>
      </w:r>
    </w:p>
    <w:p w14:paraId="71EB473B">
      <w:pPr>
        <w:keepNext w:val="0"/>
        <w:keepLines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right" w:pos="882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center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object>
          <v:shape id="_x0000_i1035" o:spt="75" type="#_x0000_t75" style="height:43.35pt;width:127.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2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t xml:space="preserve">               (3-1)</w:t>
      </w:r>
    </w:p>
    <w:p w14:paraId="25320D68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感应电动势（RX线圈）：</w:t>
      </w:r>
    </w:p>
    <w:p w14:paraId="3BD55EDB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center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2"/>
          <w:sz w:val="24"/>
          <w:szCs w:val="24"/>
          <w:lang w:val="en-US" w:eastAsia="zh-CN"/>
        </w:rPr>
        <w:t xml:space="preserve">                           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2"/>
          <w:sz w:val="24"/>
          <w:szCs w:val="24"/>
          <w:lang w:val="en-US" w:eastAsia="zh-CN"/>
        </w:rPr>
        <w:object>
          <v:shape id="_x0000_i1036" o:spt="75" type="#_x0000_t75" style="height:19pt;width:67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4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t xml:space="preserve">                      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2"/>
          <w:sz w:val="24"/>
          <w:szCs w:val="24"/>
          <w:lang w:val="en-US" w:eastAsia="zh-CN"/>
        </w:rPr>
        <w:t>(3-2)</w:t>
      </w:r>
    </w:p>
    <w:p w14:paraId="5B244BAD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其中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0"/>
          <w:sz w:val="24"/>
          <w:szCs w:val="24"/>
          <w:lang w:val="en-US" w:eastAsia="zh-CN"/>
        </w:rPr>
        <w:object>
          <v:shape id="_x0000_i1037" o:spt="75" type="#_x0000_t75" style="height:18pt;width:18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6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为发射线圈电流。</w:t>
      </w:r>
    </w:p>
    <w:p w14:paraId="792FF14A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接收端等效电路功率：</w:t>
      </w:r>
    </w:p>
    <w:p w14:paraId="5C93D807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center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t xml:space="preserve">                      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object>
          <v:shape id="_x0000_i1038" o:spt="75" type="#_x0000_t75" style="height:37pt;width:139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8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32"/>
          <w:sz w:val="24"/>
          <w:szCs w:val="24"/>
          <w:lang w:val="en-US" w:eastAsia="zh-CN"/>
        </w:rPr>
        <w:t xml:space="preserve">              (3-3)</w:t>
      </w:r>
    </w:p>
    <w:p w14:paraId="6D124D11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发射端输入功率：</w:t>
      </w:r>
    </w:p>
    <w:p w14:paraId="28A1B035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center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4"/>
          <w:sz w:val="24"/>
          <w:szCs w:val="24"/>
          <w:lang w:val="en-US" w:eastAsia="zh-CN"/>
        </w:rPr>
        <w:t xml:space="preserve">                       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4"/>
          <w:sz w:val="24"/>
          <w:szCs w:val="24"/>
          <w:lang w:val="en-US" w:eastAsia="zh-CN"/>
        </w:rPr>
        <w:object>
          <v:shape id="_x0000_i1039" o:spt="75" type="#_x0000_t75" style="height:20pt;width:11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40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4"/>
          <w:sz w:val="24"/>
          <w:szCs w:val="24"/>
          <w:lang w:val="en-US" w:eastAsia="zh-CN"/>
        </w:rPr>
        <w:t xml:space="preserve">                  (3-4)</w:t>
      </w:r>
    </w:p>
    <w:p w14:paraId="30B20410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其中</w: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position w:val="-14"/>
          <w:sz w:val="24"/>
          <w:szCs w:val="24"/>
          <w:lang w:val="en-US" w:eastAsia="zh-CN"/>
        </w:rPr>
        <w:object>
          <v:shape id="_x0000_i1040" o:spt="75" type="#_x0000_t75" style="height:20pt;width:3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2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为发射端等效负载。</w:t>
      </w:r>
    </w:p>
    <w:p w14:paraId="42D9334C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</w:p>
    <w:p w14:paraId="55841E8D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</w:p>
    <w:p w14:paraId="01E8BFF7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</w:p>
    <w:p w14:paraId="607E2E9E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</w:p>
    <w:p w14:paraId="29F3F8F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Times New Roman" w:hAnsi="Times New Roman" w:eastAsia="黑体"/>
          <w:bCs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黑体"/>
          <w:bCs/>
          <w:color w:val="auto"/>
          <w:sz w:val="24"/>
          <w:lang w:val="en-US" w:eastAsia="zh-CN"/>
        </w:rPr>
        <w:t>4工作原理及性能分析</w:t>
      </w:r>
    </w:p>
    <w:p w14:paraId="00246A5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Times New Roman" w:hAnsi="Times New Roman" w:eastAsia="黑体"/>
          <w:bCs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黑体"/>
          <w:bCs/>
          <w:color w:val="auto"/>
          <w:sz w:val="24"/>
          <w:lang w:val="en-US" w:eastAsia="zh-CN"/>
        </w:rPr>
        <w:t>4.1整体装置相关参数</w:t>
      </w:r>
    </w:p>
    <w:tbl>
      <w:tblPr>
        <w:tblStyle w:val="11"/>
        <w:tblW w:w="5000" w:type="pct"/>
        <w:jc w:val="center"/>
        <w:tblBorders>
          <w:top w:val="thickThinSmallGap" w:color="auto" w:sz="24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1"/>
        <w:gridCol w:w="6513"/>
      </w:tblGrid>
      <w:tr w14:paraId="1AFFC5DE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tcBorders>
              <w:bottom w:val="single" w:color="auto" w:sz="4" w:space="0"/>
            </w:tcBorders>
            <w:noWrap w:val="0"/>
            <w:vAlign w:val="center"/>
          </w:tcPr>
          <w:p w14:paraId="13C1B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参量</w:t>
            </w:r>
          </w:p>
        </w:tc>
        <w:tc>
          <w:tcPr>
            <w:tcW w:w="3304" w:type="pct"/>
            <w:tcBorders>
              <w:bottom w:val="single" w:color="auto" w:sz="4" w:space="0"/>
            </w:tcBorders>
            <w:noWrap w:val="0"/>
            <w:vAlign w:val="center"/>
          </w:tcPr>
          <w:p w14:paraId="3BA33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数值</w:t>
            </w:r>
          </w:p>
        </w:tc>
      </w:tr>
      <w:tr w14:paraId="4998BEBE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tcBorders>
              <w:top w:val="single" w:color="auto" w:sz="4" w:space="0"/>
            </w:tcBorders>
            <w:noWrap w:val="0"/>
            <w:vAlign w:val="center"/>
          </w:tcPr>
          <w:p w14:paraId="39B468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叶片长度</w:t>
            </w:r>
          </w:p>
        </w:tc>
        <w:tc>
          <w:tcPr>
            <w:tcW w:w="3304" w:type="pct"/>
            <w:tcBorders>
              <w:top w:val="single" w:color="auto" w:sz="4" w:space="0"/>
            </w:tcBorders>
            <w:noWrap w:val="0"/>
            <w:vAlign w:val="center"/>
          </w:tcPr>
          <w:p w14:paraId="71634A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400</w:t>
            </w:r>
            <w:r>
              <w:rPr>
                <w:rFonts w:hint="default" w:ascii="Times New Roman" w:hAnsi="Times New Roman" w:cs="Times New Roman"/>
                <w:position w:val="-4"/>
                <w:sz w:val="24"/>
                <w:szCs w:val="24"/>
                <w:lang w:val="en-US" w:eastAsia="zh-CN"/>
              </w:rPr>
              <w:object>
                <v:shape id="_x0000_i1041" o:spt="75" type="#_x0000_t75" style="height:10pt;width:22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44">
                  <o:LockedField>false</o:LockedField>
                </o:OLEObject>
              </w:object>
            </w:r>
          </w:p>
        </w:tc>
      </w:tr>
      <w:tr w14:paraId="2875718E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noWrap w:val="0"/>
            <w:vAlign w:val="center"/>
          </w:tcPr>
          <w:p w14:paraId="17EB95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叶片宽度</w:t>
            </w:r>
          </w:p>
        </w:tc>
        <w:tc>
          <w:tcPr>
            <w:tcW w:w="3304" w:type="pct"/>
            <w:noWrap w:val="0"/>
            <w:vAlign w:val="center"/>
          </w:tcPr>
          <w:p w14:paraId="51BAA2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160</w:t>
            </w:r>
            <w:r>
              <w:rPr>
                <w:rFonts w:hint="default" w:ascii="Times New Roman" w:hAnsi="Times New Roman" w:cs="Times New Roman"/>
                <w:position w:val="-4"/>
                <w:sz w:val="24"/>
                <w:szCs w:val="24"/>
                <w:lang w:val="en-US" w:eastAsia="zh-CN"/>
              </w:rPr>
              <w:object>
                <v:shape id="_x0000_i1042" o:spt="75" type="#_x0000_t75" style="height:10pt;width:22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46">
                  <o:LockedField>false</o:LockedField>
                </o:OLEObject>
              </w:object>
            </w:r>
          </w:p>
        </w:tc>
      </w:tr>
      <w:tr w14:paraId="034BE48A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695" w:type="pct"/>
            <w:noWrap w:val="0"/>
            <w:vAlign w:val="center"/>
          </w:tcPr>
          <w:p w14:paraId="2E140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导流罩半径</w:t>
            </w:r>
          </w:p>
        </w:tc>
        <w:tc>
          <w:tcPr>
            <w:tcW w:w="3304" w:type="pct"/>
            <w:noWrap w:val="0"/>
            <w:vAlign w:val="center"/>
          </w:tcPr>
          <w:p w14:paraId="501196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800</w:t>
            </w:r>
            <w:r>
              <w:rPr>
                <w:rFonts w:hint="default" w:ascii="Times New Roman" w:hAnsi="Times New Roman" w:cs="Times New Roman"/>
                <w:position w:val="-4"/>
                <w:sz w:val="24"/>
                <w:szCs w:val="24"/>
                <w:lang w:val="en-US" w:eastAsia="zh-CN"/>
              </w:rPr>
              <w:object>
                <v:shape id="_x0000_i1043" o:spt="75" type="#_x0000_t75" style="height:10pt;width:22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47">
                  <o:LockedField>false</o:LockedField>
                </o:OLEObject>
              </w:object>
            </w:r>
          </w:p>
        </w:tc>
      </w:tr>
      <w:tr w14:paraId="1626CD87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noWrap w:val="0"/>
            <w:vAlign w:val="center"/>
          </w:tcPr>
          <w:p w14:paraId="6AE8F6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导流罩高度</w:t>
            </w:r>
          </w:p>
        </w:tc>
        <w:tc>
          <w:tcPr>
            <w:tcW w:w="3304" w:type="pct"/>
            <w:noWrap w:val="0"/>
            <w:vAlign w:val="center"/>
          </w:tcPr>
          <w:p w14:paraId="2C1237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580</w:t>
            </w:r>
            <w:r>
              <w:rPr>
                <w:rFonts w:hint="default" w:ascii="Times New Roman" w:hAnsi="Times New Roman" w:cs="Times New Roman"/>
                <w:position w:val="-4"/>
                <w:sz w:val="24"/>
                <w:szCs w:val="24"/>
                <w:lang w:val="en-US" w:eastAsia="zh-CN"/>
              </w:rPr>
              <w:object>
                <v:shape id="_x0000_i1044" o:spt="75" type="#_x0000_t75" style="height:10pt;width:22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48">
                  <o:LockedField>false</o:LockedField>
                </o:OLEObject>
              </w:object>
            </w:r>
          </w:p>
        </w:tc>
      </w:tr>
      <w:tr w14:paraId="6376C6D9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noWrap w:val="0"/>
            <w:vAlign w:val="center"/>
          </w:tcPr>
          <w:p w14:paraId="32DF36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太阳能板面积</w:t>
            </w:r>
          </w:p>
        </w:tc>
        <w:tc>
          <w:tcPr>
            <w:tcW w:w="3304" w:type="pct"/>
            <w:noWrap w:val="0"/>
            <w:vAlign w:val="center"/>
          </w:tcPr>
          <w:p w14:paraId="090B87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0.3025</w:t>
            </w:r>
            <w:r>
              <w:rPr>
                <w:rFonts w:hint="default" w:ascii="Times New Roman" w:hAnsi="Times New Roman" w:cs="Times New Roman"/>
                <w:position w:val="-14"/>
                <w:sz w:val="24"/>
                <w:szCs w:val="24"/>
                <w:lang w:val="en-US" w:eastAsia="zh-CN"/>
              </w:rPr>
              <w:object>
                <v:shape id="_x0000_i1045" o:spt="75" type="#_x0000_t75" style="height:20pt;width:17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9">
                  <o:LockedField>false</o:LockedField>
                </o:OLEObject>
              </w:object>
            </w:r>
          </w:p>
        </w:tc>
      </w:tr>
      <w:tr w14:paraId="65027BAF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noWrap w:val="0"/>
            <w:vAlign w:val="center"/>
          </w:tcPr>
          <w:p w14:paraId="78E444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充电装置底面积</w:t>
            </w:r>
          </w:p>
        </w:tc>
        <w:tc>
          <w:tcPr>
            <w:tcW w:w="3304" w:type="pct"/>
            <w:noWrap w:val="0"/>
            <w:vAlign w:val="center"/>
          </w:tcPr>
          <w:p w14:paraId="6808BA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0.125</w:t>
            </w:r>
            <w:r>
              <w:rPr>
                <w:rFonts w:hint="default" w:ascii="Times New Roman" w:hAnsi="Times New Roman" w:cs="Times New Roman"/>
                <w:position w:val="-14"/>
                <w:sz w:val="24"/>
                <w:szCs w:val="24"/>
                <w:lang w:val="en-US" w:eastAsia="zh-CN"/>
              </w:rPr>
              <w:object>
                <v:shape id="_x0000_i1046" o:spt="75" type="#_x0000_t75" style="height:20pt;width:17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51">
                  <o:LockedField>false</o:LockedField>
                </o:OLEObject>
              </w:object>
            </w:r>
          </w:p>
        </w:tc>
      </w:tr>
      <w:tr w14:paraId="374B0F71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noWrap w:val="0"/>
            <w:vAlign w:val="center"/>
          </w:tcPr>
          <w:p w14:paraId="2B590B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充电装置高度</w:t>
            </w:r>
          </w:p>
        </w:tc>
        <w:tc>
          <w:tcPr>
            <w:tcW w:w="3304" w:type="pct"/>
            <w:noWrap w:val="0"/>
            <w:vAlign w:val="center"/>
          </w:tcPr>
          <w:p w14:paraId="45D851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0.7</w:t>
            </w:r>
            <w:r>
              <w:rPr>
                <w:rFonts w:hint="default" w:ascii="Times New Roman" w:hAnsi="Times New Roman" w:cs="Times New Roman"/>
                <w:position w:val="-4"/>
                <w:sz w:val="24"/>
                <w:szCs w:val="24"/>
                <w:lang w:val="en-US" w:eastAsia="zh-CN"/>
              </w:rPr>
              <w:object>
                <v:shape id="_x0000_i1047" o:spt="75" type="#_x0000_t75" style="height:10pt;width:13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52">
                  <o:LockedField>false</o:LockedField>
                </o:OLEObject>
              </w:object>
            </w:r>
          </w:p>
        </w:tc>
      </w:tr>
      <w:tr w14:paraId="2B09C0C2">
        <w:tblPrEx>
          <w:tblBorders>
            <w:top w:val="thickThinSmallGap" w:color="auto" w:sz="24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95" w:type="pct"/>
            <w:noWrap w:val="0"/>
            <w:vAlign w:val="center"/>
          </w:tcPr>
          <w:p w14:paraId="195381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叶片数量</w:t>
            </w:r>
          </w:p>
        </w:tc>
        <w:tc>
          <w:tcPr>
            <w:tcW w:w="3304" w:type="pct"/>
            <w:noWrap w:val="0"/>
            <w:vAlign w:val="center"/>
          </w:tcPr>
          <w:p w14:paraId="157B5A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</w:p>
        </w:tc>
      </w:tr>
    </w:tbl>
    <w:p w14:paraId="3D08345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黑体" w:hAnsi="黑体" w:eastAsia="黑体" w:cs="黑体"/>
          <w:b w:val="0"/>
          <w:bCs/>
        </w:rPr>
      </w:pPr>
      <w:r>
        <w:rPr>
          <w:rFonts w:hint="eastAsia" w:ascii="Times New Roman" w:hAnsi="Times New Roman" w:eastAsia="黑体" w:cs="Times New Roman"/>
          <w:b w:val="0"/>
          <w:bCs/>
          <w:lang w:val="en-US" w:eastAsia="zh-CN"/>
        </w:rPr>
        <w:t>4.2风光采集装置</w:t>
      </w:r>
      <w:r>
        <w:rPr>
          <w:rFonts w:hint="eastAsia" w:ascii="黑体" w:hAnsi="黑体" w:eastAsia="黑体" w:cs="黑体"/>
          <w:b w:val="0"/>
          <w:bCs/>
        </w:rPr>
        <w:t>零部件的设计</w:t>
      </w:r>
    </w:p>
    <w:p w14:paraId="19FC293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本系统设计</w:t>
      </w:r>
      <w:r>
        <w:rPr>
          <w:rFonts w:hint="default" w:ascii="Times New Roman" w:hAnsi="Times New Roman" w:cs="Times New Roman"/>
          <w:b w:val="0"/>
          <w:bCs/>
          <w:lang w:val="en-US" w:eastAsia="zh-CN"/>
        </w:rPr>
        <w:t>的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装置</w:t>
      </w:r>
      <w:r>
        <w:rPr>
          <w:rFonts w:hint="default" w:ascii="Times New Roman" w:hAnsi="Times New Roman" w:cs="Times New Roman"/>
          <w:b w:val="0"/>
          <w:bCs/>
          <w:lang w:val="en-US" w:eastAsia="zh-CN"/>
        </w:rPr>
        <w:t>包括：1.导流罩；2.风力发电机；3.太阳能板；4.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无线充电装置</w:t>
      </w:r>
    </w:p>
    <w:p w14:paraId="05C0F757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lang w:val="en-US" w:eastAsia="zh-CN"/>
        </w:rPr>
        <w:t>风力发电</w:t>
      </w:r>
    </w:p>
    <w:p w14:paraId="007182C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lang w:val="en-US" w:eastAsia="zh-CN"/>
        </w:rPr>
        <w:t>基于文丘里效应与伯努利原理设计了一种导流罩，如图7所示。</w:t>
      </w:r>
    </w:p>
    <w:p w14:paraId="715EBB9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3300730</wp:posOffset>
            </wp:positionH>
            <wp:positionV relativeFrom="paragraph">
              <wp:posOffset>191770</wp:posOffset>
            </wp:positionV>
            <wp:extent cx="2160270" cy="1800225"/>
            <wp:effectExtent l="0" t="0" r="11430" b="3175"/>
            <wp:wrapSquare wrapText="bothSides"/>
            <wp:docPr id="11" name="图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640080</wp:posOffset>
            </wp:positionH>
            <wp:positionV relativeFrom="paragraph">
              <wp:posOffset>190500</wp:posOffset>
            </wp:positionV>
            <wp:extent cx="2160270" cy="1800225"/>
            <wp:effectExtent l="0" t="0" r="11430" b="3175"/>
            <wp:wrapThrough wrapText="bothSides">
              <wp:wrapPolygon>
                <wp:start x="0" y="0"/>
                <wp:lineTo x="0" y="21486"/>
                <wp:lineTo x="21460" y="21486"/>
                <wp:lineTo x="21460" y="0"/>
                <wp:lineTo x="0" y="0"/>
              </wp:wrapPolygon>
            </wp:wrapThrough>
            <wp:docPr id="10" name="图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lang w:val="en-US" w:eastAsia="zh-CN"/>
        </w:rPr>
        <w:t xml:space="preserve">  </w:t>
      </w:r>
    </w:p>
    <w:p w14:paraId="6BD5350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</w:p>
    <w:p w14:paraId="0FE33FD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1CF583B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45A3FEB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0280D98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2CCAF26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13988C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图7 导流罩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模型</w:t>
      </w:r>
    </w:p>
    <w:p w14:paraId="3D17A6A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文丘里效应是流体动力学中的一个现象，描述的是流体在通过狭管道时，流速增加、压力降低的情况。当流体流经一个收缩的管道段时，由于流体的连续性和能量守恒，流速在狭窄部分增加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导流罩通过改变进出风口大小来增加风速，同时使风环形流通，使风力发电机发电效率更高。</w:t>
      </w:r>
    </w:p>
    <w:p w14:paraId="42C5552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风力发电机如图8所示，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垂直轴风力发电机通过风力推动垂直排列的叶片旋转，从而将机械能转化为电能。</w:t>
      </w:r>
    </w:p>
    <w:p w14:paraId="394CB8A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3284220</wp:posOffset>
            </wp:positionH>
            <wp:positionV relativeFrom="paragraph">
              <wp:posOffset>143510</wp:posOffset>
            </wp:positionV>
            <wp:extent cx="2160270" cy="1800225"/>
            <wp:effectExtent l="0" t="0" r="0" b="3175"/>
            <wp:wrapThrough wrapText="bothSides">
              <wp:wrapPolygon>
                <wp:start x="0" y="0"/>
                <wp:lineTo x="0" y="21486"/>
                <wp:lineTo x="21460" y="21486"/>
                <wp:lineTo x="21460" y="0"/>
                <wp:lineTo x="0" y="0"/>
              </wp:wrapPolygon>
            </wp:wrapThrough>
            <wp:docPr id="15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718185</wp:posOffset>
            </wp:positionH>
            <wp:positionV relativeFrom="paragraph">
              <wp:posOffset>124460</wp:posOffset>
            </wp:positionV>
            <wp:extent cx="2160270" cy="1800225"/>
            <wp:effectExtent l="0" t="0" r="0" b="3175"/>
            <wp:wrapThrough wrapText="bothSides">
              <wp:wrapPolygon>
                <wp:start x="0" y="0"/>
                <wp:lineTo x="0" y="21486"/>
                <wp:lineTo x="21460" y="21486"/>
                <wp:lineTo x="21460" y="0"/>
                <wp:lineTo x="0" y="0"/>
              </wp:wrapPolygon>
            </wp:wrapThrough>
            <wp:docPr id="14" name="图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DDCAD3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</w:p>
    <w:p w14:paraId="6922CD5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</w:p>
    <w:p w14:paraId="089EE65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</w:p>
    <w:p w14:paraId="47A1F1D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</w:p>
    <w:p w14:paraId="1C4CC2F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</w:p>
    <w:p w14:paraId="651D740A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E05304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图8 风力发电机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模型</w:t>
      </w:r>
    </w:p>
    <w:p w14:paraId="4612CFFE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lang w:val="en-US" w:eastAsia="zh-CN"/>
        </w:rPr>
        <w:t>光伏发电</w:t>
      </w:r>
    </w:p>
    <w:p w14:paraId="3608B3F3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 w:val="0"/>
          <w:bCs/>
          <w:lang w:val="en-US" w:eastAsia="zh-CN"/>
        </w:rPr>
        <w:t>光伏发电模块由太阳能板组成，如图9所示。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太阳能板在工作时会产生热量，温度过高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会降低其光电转换效率。文丘里效应通过在太阳能板附近形成气流，使得热量更有效地散发，从而保持面板的工作温度在较低水平，提高发电效率。</w:t>
      </w:r>
    </w:p>
    <w:p w14:paraId="0DB763E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104538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cs="宋体"/>
          <w:b w:val="0"/>
          <w:bCs/>
          <w:lang w:val="en-US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101600</wp:posOffset>
            </wp:positionV>
            <wp:extent cx="2879725" cy="1080135"/>
            <wp:effectExtent l="0" t="0" r="3175" b="12065"/>
            <wp:wrapThrough wrapText="bothSides">
              <wp:wrapPolygon>
                <wp:start x="0" y="0"/>
                <wp:lineTo x="0" y="21333"/>
                <wp:lineTo x="21529" y="21333"/>
                <wp:lineTo x="21529" y="0"/>
                <wp:lineTo x="0" y="0"/>
              </wp:wrapPolygon>
            </wp:wrapThrough>
            <wp:docPr id="16" name="图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F4AC0C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cs="宋体"/>
          <w:b w:val="0"/>
          <w:bCs/>
          <w:lang w:val="en-US" w:eastAsia="zh-CN"/>
        </w:rPr>
      </w:pPr>
    </w:p>
    <w:p w14:paraId="04834D5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cs="宋体"/>
          <w:b w:val="0"/>
          <w:bCs/>
          <w:lang w:val="en-US" w:eastAsia="zh-CN"/>
        </w:rPr>
      </w:pPr>
    </w:p>
    <w:p w14:paraId="0D5FAA4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cs="宋体"/>
          <w:b w:val="0"/>
          <w:bCs/>
          <w:lang w:val="en-US" w:eastAsia="zh-CN"/>
        </w:rPr>
      </w:pPr>
    </w:p>
    <w:p w14:paraId="6C13EF5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cs="宋体"/>
          <w:b w:val="0"/>
          <w:bCs/>
          <w:lang w:val="en-US" w:eastAsia="zh-CN"/>
        </w:rPr>
      </w:pPr>
      <w:r>
        <w:rPr>
          <w:rFonts w:hint="eastAsia" w:cs="宋体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图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9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光伏发电模型</w:t>
      </w:r>
    </w:p>
    <w:p w14:paraId="3329404D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cs="宋体"/>
          <w:b w:val="0"/>
          <w:bCs/>
          <w:lang w:val="en-US" w:eastAsia="zh-CN"/>
        </w:rPr>
        <w:t>无线充电</w:t>
      </w:r>
    </w:p>
    <w:p w14:paraId="41D85A4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采用</w:t>
      </w:r>
      <w:r>
        <w:rPr>
          <w:rFonts w:hint="eastAsia" w:cs="宋体"/>
          <w:b w:val="0"/>
          <w:bCs/>
          <w:lang w:val="en-US" w:eastAsia="zh-CN"/>
        </w:rPr>
        <w:t>铅酸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蓄电池将</w:t>
      </w:r>
      <w:r>
        <w:rPr>
          <w:rFonts w:hint="eastAsia" w:cs="宋体"/>
          <w:b w:val="0"/>
          <w:bCs/>
          <w:lang w:val="en-US" w:eastAsia="zh-CN"/>
        </w:rPr>
        <w:t>转换成的电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能储存起来。再将其输送到地下充电装置中，位于系统底部，如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图</w:t>
      </w:r>
      <w:r>
        <w:rPr>
          <w:rFonts w:hint="default" w:ascii="Times New Roman" w:hAnsi="Times New Roman" w:cs="Times New Roman"/>
          <w:b w:val="0"/>
          <w:bCs/>
          <w:lang w:val="en-US" w:eastAsia="zh-CN"/>
        </w:rPr>
        <w:t>10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所示。</w:t>
      </w:r>
    </w:p>
    <w:p w14:paraId="40E842D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黑体" w:hAnsi="黑体" w:eastAsia="黑体" w:cs="黑体"/>
          <w:b w:val="0"/>
          <w:bCs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1859915</wp:posOffset>
            </wp:positionH>
            <wp:positionV relativeFrom="paragraph">
              <wp:posOffset>151765</wp:posOffset>
            </wp:positionV>
            <wp:extent cx="2389505" cy="1461770"/>
            <wp:effectExtent l="0" t="0" r="10795" b="11430"/>
            <wp:wrapThrough wrapText="bothSides">
              <wp:wrapPolygon>
                <wp:start x="0" y="0"/>
                <wp:lineTo x="0" y="21394"/>
                <wp:lineTo x="21468" y="21394"/>
                <wp:lineTo x="21468" y="0"/>
                <wp:lineTo x="0" y="0"/>
              </wp:wrapPolygon>
            </wp:wrapThrough>
            <wp:docPr id="1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6"/>
                    <pic:cNvPicPr>
                      <a:picLocks noChangeAspect="1"/>
                    </pic:cNvPicPr>
                  </pic:nvPicPr>
                  <pic:blipFill>
                    <a:blip r:embed="rId59"/>
                    <a:srcRect l="7827" t="557" r="13341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B7CAD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黑体" w:hAnsi="黑体" w:eastAsia="黑体" w:cs="黑体"/>
          <w:b w:val="0"/>
          <w:bCs/>
        </w:rPr>
      </w:pPr>
    </w:p>
    <w:p w14:paraId="21507EB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黑体" w:hAnsi="黑体" w:eastAsia="黑体" w:cs="黑体"/>
          <w:b w:val="0"/>
          <w:bCs/>
        </w:rPr>
      </w:pPr>
    </w:p>
    <w:p w14:paraId="16B3A8A2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黑体" w:hAnsi="黑体" w:eastAsia="黑体" w:cs="黑体"/>
          <w:b w:val="0"/>
          <w:bCs/>
        </w:rPr>
      </w:pPr>
    </w:p>
    <w:p w14:paraId="21C4957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eastAsia" w:ascii="黑体" w:hAnsi="黑体" w:eastAsia="黑体" w:cs="黑体"/>
          <w:b w:val="0"/>
          <w:bCs/>
        </w:rPr>
      </w:pPr>
    </w:p>
    <w:p w14:paraId="08DA4A8C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default" w:ascii="Times New Roman" w:hAnsi="Times New Roman" w:eastAsia="黑体"/>
          <w:bCs/>
          <w:sz w:val="24"/>
          <w:lang w:val="en-US"/>
        </w:rPr>
      </w:pPr>
      <w:r>
        <w:rPr>
          <w:rFonts w:hint="eastAsia" w:cs="宋体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图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10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储能装置</w:t>
      </w:r>
    </w:p>
    <w:p w14:paraId="7FF3944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无线充电装置由芯片和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发射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线圈组成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，沿巡检轨道，在轨道旁安装，如图11所示。当巡检机器人电量较低时，机器人自动运行到距离最近的无线充电装置，无线充电装置利用电磁感应原理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实现对巡检机器人</w:t>
      </w:r>
      <w:r>
        <w:rPr>
          <w:rFonts w:hint="eastAsia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进行无线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充电。</w:t>
      </w:r>
    </w:p>
    <w:p w14:paraId="5CE455D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137160</wp:posOffset>
            </wp:positionV>
            <wp:extent cx="3804920" cy="2038985"/>
            <wp:effectExtent l="0" t="0" r="5080" b="5715"/>
            <wp:wrapThrough wrapText="bothSides">
              <wp:wrapPolygon>
                <wp:start x="0" y="0"/>
                <wp:lineTo x="0" y="21526"/>
                <wp:lineTo x="21557" y="21526"/>
                <wp:lineTo x="21557" y="0"/>
                <wp:lineTo x="0" y="0"/>
              </wp:wrapPolygon>
            </wp:wrapThrough>
            <wp:docPr id="7" name="图片 7" descr="屏幕截图 2025-04-03 20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4-03 20173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35C7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5B08971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71DA35A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84F01E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06199A9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59AAE232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0E2493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360" w:firstLineChars="200"/>
        <w:jc w:val="center"/>
        <w:textAlignment w:val="auto"/>
        <w:rPr>
          <w:rFonts w:hint="default" w:cs="宋体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图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11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无线充电装置</w:t>
      </w:r>
    </w:p>
    <w:p w14:paraId="5A62DD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textAlignment w:val="auto"/>
        <w:rPr>
          <w:rFonts w:hint="eastAsia" w:ascii="Times New Roman" w:hAnsi="Times New Roman" w:eastAsia="黑体"/>
          <w:bCs/>
          <w:sz w:val="24"/>
          <w:lang w:val="en-US" w:eastAsia="zh-CN"/>
        </w:rPr>
      </w:pPr>
      <w:r>
        <w:rPr>
          <w:rFonts w:ascii="Times New Roman" w:hAnsi="Times New Roman" w:eastAsia="黑体"/>
          <w:bCs/>
          <w:sz w:val="24"/>
        </w:rPr>
        <w:t>4</w:t>
      </w:r>
      <w:r>
        <w:rPr>
          <w:rFonts w:hint="eastAsia" w:ascii="Times New Roman" w:hAnsi="Times New Roman" w:eastAsia="黑体"/>
          <w:bCs/>
          <w:sz w:val="24"/>
          <w:lang w:val="en-US" w:eastAsia="zh-CN"/>
        </w:rPr>
        <w:t>.3</w:t>
      </w:r>
      <w:r>
        <w:rPr>
          <w:rFonts w:ascii="Times New Roman" w:hAnsi="Times New Roman" w:eastAsia="黑体"/>
          <w:bCs/>
          <w:sz w:val="24"/>
        </w:rPr>
        <w:t xml:space="preserve"> </w:t>
      </w:r>
      <w:r>
        <w:rPr>
          <w:rFonts w:hint="eastAsia" w:ascii="Times New Roman" w:hAnsi="Times New Roman" w:eastAsia="黑体"/>
          <w:bCs/>
          <w:sz w:val="24"/>
          <w:lang w:val="en-US" w:eastAsia="zh-CN"/>
        </w:rPr>
        <w:t>实物展示与仿真分析</w:t>
      </w:r>
    </w:p>
    <w:p w14:paraId="2372F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  <w:t>通过Ansys fluent对导流罩进行流体力学仿真，风速设置为2</w:t>
      </w:r>
      <w:r>
        <w:rPr>
          <w:rFonts w:hint="default" w:ascii="Times New Roman" w:hAnsi="Times New Roman" w:eastAsia="宋体" w:cs="Times New Roman"/>
          <w:b w:val="0"/>
          <w:bCs/>
          <w:position w:val="-6"/>
          <w:sz w:val="24"/>
          <w:lang w:val="en-US" w:eastAsia="zh-CN"/>
        </w:rPr>
        <w:object>
          <v:shape id="_x0000_i1048" o:spt="75" type="#_x0000_t75" style="height:13.95pt;width:26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  <w:t>。由仿真结果</w:t>
      </w: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图1</w:t>
      </w: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  <w:t>可以看到，导流罩中心风速显著增加</w:t>
      </w: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，能够提高中心风力发电机的发电效率</w:t>
      </w:r>
      <w:r>
        <w:rPr>
          <w:rFonts w:hint="default" w:ascii="Times New Roman" w:hAnsi="Times New Roman" w:eastAsia="宋体" w:cs="Times New Roman"/>
          <w:b w:val="0"/>
          <w:bCs/>
          <w:sz w:val="24"/>
          <w:lang w:val="en-US" w:eastAsia="zh-CN"/>
        </w:rPr>
        <w:t>。</w:t>
      </w:r>
    </w:p>
    <w:p w14:paraId="3206F7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textAlignment w:val="auto"/>
        <w:rPr>
          <w:rFonts w:hint="eastAsia" w:ascii="Times New Roman" w:hAnsi="Times New Roman" w:eastAsia="黑体"/>
          <w:bCs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211455</wp:posOffset>
            </wp:positionV>
            <wp:extent cx="2661285" cy="1383665"/>
            <wp:effectExtent l="0" t="0" r="5715" b="635"/>
            <wp:wrapThrough wrapText="bothSides">
              <wp:wrapPolygon>
                <wp:start x="0" y="0"/>
                <wp:lineTo x="0" y="21412"/>
                <wp:lineTo x="21543" y="21412"/>
                <wp:lineTo x="21543" y="0"/>
                <wp:lineTo x="0" y="0"/>
              </wp:wrapPolygon>
            </wp:wrapThrough>
            <wp:docPr id="1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8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3262630</wp:posOffset>
            </wp:positionH>
            <wp:positionV relativeFrom="paragraph">
              <wp:posOffset>235585</wp:posOffset>
            </wp:positionV>
            <wp:extent cx="2937510" cy="1406525"/>
            <wp:effectExtent l="0" t="0" r="0" b="0"/>
            <wp:wrapThrough wrapText="bothSides">
              <wp:wrapPolygon>
                <wp:start x="0" y="0"/>
                <wp:lineTo x="0" y="21454"/>
                <wp:lineTo x="21479" y="21454"/>
                <wp:lineTo x="21479" y="0"/>
                <wp:lineTo x="0" y="0"/>
              </wp:wrapPolygon>
            </wp:wrapThrough>
            <wp:docPr id="1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9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rcRect t="11999" r="5108" b="8668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83DC0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textAlignment w:val="auto"/>
        <w:rPr>
          <w:rFonts w:hint="default" w:ascii="Times New Roman" w:hAnsi="Times New Roman" w:eastAsia="黑体"/>
          <w:bCs/>
          <w:sz w:val="24"/>
          <w:lang w:val="en-US" w:eastAsia="zh-CN"/>
        </w:rPr>
      </w:pPr>
    </w:p>
    <w:p w14:paraId="331BD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Times New Roman" w:hAnsi="Times New Roman" w:eastAsia="宋体"/>
          <w:bCs/>
          <w:color w:val="auto"/>
          <w:sz w:val="24"/>
          <w:szCs w:val="24"/>
          <w:lang w:val="en-US" w:eastAsia="zh-CN"/>
        </w:rPr>
      </w:pPr>
    </w:p>
    <w:p w14:paraId="7C24D1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textAlignment w:val="auto"/>
        <w:rPr>
          <w:rFonts w:ascii="Times New Roman" w:hAnsi="Times New Roman" w:eastAsia="黑体"/>
          <w:sz w:val="24"/>
        </w:rPr>
      </w:pPr>
    </w:p>
    <w:p w14:paraId="15501BBC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cs="宋体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图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12仿真结果示意</w:t>
      </w:r>
    </w:p>
    <w:p w14:paraId="7A736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ind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实物展示如图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3</w:t>
      </w: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所示。</w:t>
      </w:r>
    </w:p>
    <w:p w14:paraId="543F0C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jc w:val="center"/>
        <w:textAlignment w:val="auto"/>
        <w:rPr>
          <w:rFonts w:ascii="Times New Roman" w:hAnsi="Times New Roman" w:eastAsia="黑体"/>
          <w:sz w:val="24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3165475</wp:posOffset>
            </wp:positionH>
            <wp:positionV relativeFrom="paragraph">
              <wp:posOffset>19050</wp:posOffset>
            </wp:positionV>
            <wp:extent cx="2626995" cy="1650365"/>
            <wp:effectExtent l="0" t="0" r="1905" b="635"/>
            <wp:wrapSquare wrapText="bothSides"/>
            <wp:docPr id="21" name="图片 4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1" descr="IMG_25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650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20320</wp:posOffset>
            </wp:positionV>
            <wp:extent cx="2687955" cy="1624965"/>
            <wp:effectExtent l="0" t="0" r="4445" b="635"/>
            <wp:wrapSquare wrapText="bothSides"/>
            <wp:docPr id="20" name="图片 40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0" descr="IMG_25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687955" cy="162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实物展示</w:t>
      </w:r>
    </w:p>
    <w:p w14:paraId="34419A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480" w:lineRule="exact"/>
        <w:textAlignment w:val="auto"/>
        <w:rPr>
          <w:rFonts w:ascii="Times New Roman" w:hAnsi="Times New Roman" w:eastAsia="黑体"/>
          <w:sz w:val="24"/>
        </w:rPr>
      </w:pPr>
      <w:r>
        <w:rPr>
          <w:rFonts w:ascii="Times New Roman" w:hAnsi="Times New Roman" w:eastAsia="黑体"/>
          <w:sz w:val="24"/>
        </w:rPr>
        <w:t>5 创新点及应用</w:t>
      </w:r>
    </w:p>
    <w:p w14:paraId="70920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本系统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基于太阳能与风能双动力供电，为地下管廊巡检机器人提供持续、稳定、环保的能源支持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相较传统供电形式，本供电系统具有以下创新：</w:t>
      </w:r>
    </w:p>
    <w:p w14:paraId="5FD9A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jc w:val="left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（1）创新地将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多能源耦合模型</w:t>
      </w:r>
      <w:r>
        <w:rPr>
          <w:rFonts w:hint="eastAsia" w:ascii="宋体" w:hAnsi="宋体" w:cs="宋体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集成运用于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地下管廊巡检机器人供电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采用模块化部署方案，在保证成本降低的同时，可适应管廊沿线复杂地形布局，实现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中短距离下的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分布式供能节点布置，有效保障巡检作业连续性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eastAsia="zh-CN"/>
        </w:rPr>
        <w:t>。</w:t>
      </w:r>
    </w:p>
    <w:p w14:paraId="45479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基于文丘里效应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和伯努利原理，设计出导流罩以优化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光伏组件与风机协同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工作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：</w:t>
      </w:r>
    </w:p>
    <w:p w14:paraId="553116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温度自控：午后城郊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热压差驱动定向气流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基于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文丘里效应构造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  <w:t>渐缩式流道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实现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空气对流增速，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促进散热，降低效率损耗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。</w:t>
      </w:r>
    </w:p>
    <w:p w14:paraId="63EB06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提高风速：独特导流结构驱动气流，提高流经风叶的风速，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提高风能捕获效率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。</w:t>
      </w:r>
    </w:p>
    <w:p w14:paraId="38B045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创新设计无线充电装置，使地下管廊巡检机器人能够在行驶过程中实时充电，避免了传统有线充电的局限。这种充电方式尤其适合频繁巡检的场景，使用便捷。</w:t>
      </w:r>
    </w:p>
    <w:p w14:paraId="5F7D64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（4）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切合“节能减排”主题，充分利用可再生能源减少碳排放，提高能源使用效率，为地下管廊和巡检机器人的可持续发展提供新的思路。</w:t>
      </w:r>
    </w:p>
    <w:p w14:paraId="58DB83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20F8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textAlignment w:val="auto"/>
        <w:rPr>
          <w:rFonts w:ascii="Times New Roman" w:hAnsi="Times New Roman" w:eastAsia="黑体"/>
          <w:bCs/>
          <w:sz w:val="24"/>
          <w:szCs w:val="24"/>
        </w:rPr>
      </w:pPr>
      <w:r>
        <w:rPr>
          <w:rFonts w:ascii="Times New Roman" w:hAnsi="Times New Roman" w:eastAsia="黑体"/>
          <w:bCs/>
          <w:sz w:val="24"/>
          <w:szCs w:val="24"/>
        </w:rPr>
        <w:t>参考文献</w:t>
      </w:r>
    </w:p>
    <w:p w14:paraId="47B64C52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[1]王承熙,张源.风力发电[M].北京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:</w:t>
      </w:r>
      <w:r>
        <w:rPr>
          <w:rFonts w:hint="default" w:ascii="Times New Roman" w:hAnsi="Times New Roman" w:cs="Times New Roman"/>
          <w:kern w:val="0"/>
          <w:szCs w:val="21"/>
        </w:rPr>
        <w:t>中国电力出版社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2004</w:t>
      </w:r>
    </w:p>
    <w:p w14:paraId="457E917D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[2]周鹗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电机学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kern w:val="0"/>
          <w:szCs w:val="21"/>
        </w:rPr>
        <w:t>第三版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)</w:t>
      </w:r>
      <w:r>
        <w:rPr>
          <w:rFonts w:hint="default" w:ascii="Times New Roman" w:hAnsi="Times New Roman" w:cs="Times New Roman"/>
          <w:kern w:val="0"/>
          <w:szCs w:val="21"/>
        </w:rPr>
        <w:t>[M]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北京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:</w:t>
      </w:r>
      <w:r>
        <w:rPr>
          <w:rFonts w:hint="default" w:ascii="Times New Roman" w:hAnsi="Times New Roman" w:cs="Times New Roman"/>
          <w:kern w:val="0"/>
          <w:szCs w:val="21"/>
        </w:rPr>
        <w:t>中国电力出版社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1995</w:t>
      </w:r>
    </w:p>
    <w:p w14:paraId="423A8D9C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[3]肖劲松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风力机组控制理论研究的现状与展望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风力发电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2002</w:t>
      </w:r>
    </w:p>
    <w:p w14:paraId="695FA485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[4]《机械设计手册—齿轮传动》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机械工业出版社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2007</w:t>
      </w:r>
    </w:p>
    <w:p w14:paraId="4D446E3E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[5]《机械设计手册—减速器和变速器》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机械工业出版社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2007</w:t>
      </w:r>
    </w:p>
    <w:p w14:paraId="10DFBE03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[6]《机械设计手册》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机械工业出版社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2007</w:t>
      </w:r>
    </w:p>
    <w:p w14:paraId="1D762A37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[7]叶伟昌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机械工程及自动化简明设计手册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机械工业出版社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2001</w:t>
      </w:r>
    </w:p>
    <w:p w14:paraId="41DA810D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[8]李俊峰等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风力12在中国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[</w:t>
      </w:r>
      <w:r>
        <w:rPr>
          <w:rFonts w:hint="default" w:ascii="Times New Roman" w:hAnsi="Times New Roman" w:cs="Times New Roman"/>
          <w:kern w:val="0"/>
          <w:szCs w:val="21"/>
        </w:rPr>
        <w:t>M].北京:化学工业出版社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2005</w:t>
      </w:r>
    </w:p>
    <w:p w14:paraId="28A7EC28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[9]张希良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风能开发利用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[</w:t>
      </w:r>
      <w:r>
        <w:rPr>
          <w:rFonts w:hint="default" w:ascii="Times New Roman" w:hAnsi="Times New Roman" w:cs="Times New Roman"/>
          <w:kern w:val="0"/>
          <w:szCs w:val="21"/>
        </w:rPr>
        <w:t>M].北京:化学工业出版社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2005</w:t>
      </w:r>
    </w:p>
    <w:p w14:paraId="6D8B3854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[10]D.勒古里雷斯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施鹏飞译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风力机的理论与设计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[</w:t>
      </w:r>
      <w:r>
        <w:rPr>
          <w:rFonts w:hint="default" w:ascii="Times New Roman" w:hAnsi="Times New Roman" w:cs="Times New Roman"/>
          <w:kern w:val="0"/>
          <w:szCs w:val="21"/>
        </w:rPr>
        <w:t>M].北京:机械工业出版社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1987</w:t>
      </w:r>
    </w:p>
    <w:p w14:paraId="69DB02DB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hint="default" w:ascii="Times New Roman" w:hAnsi="Times New Roman" w:eastAsia="宋体" w:cs="Times New Roman"/>
          <w:kern w:val="0"/>
          <w:szCs w:val="21"/>
          <w:lang w:val="en-US" w:eastAsia="zh-CN"/>
        </w:rPr>
      </w:pPr>
      <w:r>
        <w:rPr>
          <w:rFonts w:hint="default" w:ascii="Times New Roman" w:hAnsi="Times New Roman" w:cs="Times New Roman"/>
          <w:kern w:val="0"/>
          <w:szCs w:val="21"/>
        </w:rPr>
        <w:t>[11]苏绍禹.风力发电机设计与运行维护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  <w:r>
        <w:rPr>
          <w:rFonts w:hint="default" w:ascii="Times New Roman" w:hAnsi="Times New Roman" w:cs="Times New Roman"/>
          <w:kern w:val="0"/>
          <w:szCs w:val="21"/>
        </w:rPr>
        <w:t>中国电力出版社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2003年1月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北京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.</w:t>
      </w:r>
    </w:p>
    <w:p w14:paraId="34140FB8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left"/>
        <w:textAlignment w:val="auto"/>
        <w:rPr>
          <w:rFonts w:ascii="Times New Roman" w:hAnsi="Times New Roman"/>
        </w:rPr>
      </w:pPr>
      <w:r>
        <w:rPr>
          <w:rFonts w:hint="default" w:ascii="Times New Roman" w:hAnsi="Times New Roman" w:cs="Times New Roman"/>
          <w:kern w:val="0"/>
          <w:szCs w:val="21"/>
        </w:rPr>
        <w:t>[12]杨绣媛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梁贵书.风力发电的发展及其市场前景[J].电网技术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>,</w:t>
      </w:r>
      <w:r>
        <w:rPr>
          <w:rFonts w:hint="default" w:ascii="Times New Roman" w:hAnsi="Times New Roman" w:cs="Times New Roman"/>
          <w:kern w:val="0"/>
          <w:szCs w:val="21"/>
        </w:rPr>
        <w:t>2003</w:t>
      </w:r>
    </w:p>
    <w:sectPr>
      <w:headerReference r:id="rId3" w:type="default"/>
      <w:footerReference r:id="rId4" w:type="default"/>
      <w:pgSz w:w="11906" w:h="16838"/>
      <w:pgMar w:top="1417" w:right="1134" w:bottom="141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97C9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DF1DF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DF1DF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F7B70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D922A"/>
    <w:multiLevelType w:val="singleLevel"/>
    <w:tmpl w:val="16FD922A"/>
    <w:lvl w:ilvl="0" w:tentative="0">
      <w:start w:val="1"/>
      <w:numFmt w:val="decimal"/>
      <w:suff w:val="nothing"/>
      <w:lvlText w:val="（%1）"/>
      <w:lvlJc w:val="left"/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05F"/>
    <w:rsid w:val="000138B0"/>
    <w:rsid w:val="00025E2D"/>
    <w:rsid w:val="00036EAD"/>
    <w:rsid w:val="000443E1"/>
    <w:rsid w:val="00054E2F"/>
    <w:rsid w:val="000A52E4"/>
    <w:rsid w:val="000B6F01"/>
    <w:rsid w:val="000F3146"/>
    <w:rsid w:val="00137055"/>
    <w:rsid w:val="001422D5"/>
    <w:rsid w:val="0019305F"/>
    <w:rsid w:val="001C6213"/>
    <w:rsid w:val="001C6B66"/>
    <w:rsid w:val="0026275D"/>
    <w:rsid w:val="0026596D"/>
    <w:rsid w:val="002D7DB7"/>
    <w:rsid w:val="002E1BAA"/>
    <w:rsid w:val="002F2D9B"/>
    <w:rsid w:val="003003F2"/>
    <w:rsid w:val="00344650"/>
    <w:rsid w:val="003506A8"/>
    <w:rsid w:val="003830EA"/>
    <w:rsid w:val="003B745E"/>
    <w:rsid w:val="003C2E67"/>
    <w:rsid w:val="003E31EC"/>
    <w:rsid w:val="003F4E37"/>
    <w:rsid w:val="00414833"/>
    <w:rsid w:val="00430B37"/>
    <w:rsid w:val="004409D4"/>
    <w:rsid w:val="00474606"/>
    <w:rsid w:val="004A355B"/>
    <w:rsid w:val="004A6E2E"/>
    <w:rsid w:val="004D280F"/>
    <w:rsid w:val="00503304"/>
    <w:rsid w:val="00503598"/>
    <w:rsid w:val="00526747"/>
    <w:rsid w:val="0056790E"/>
    <w:rsid w:val="00570B62"/>
    <w:rsid w:val="00580103"/>
    <w:rsid w:val="0061103E"/>
    <w:rsid w:val="006B1E92"/>
    <w:rsid w:val="007034CE"/>
    <w:rsid w:val="00710D9A"/>
    <w:rsid w:val="007C7C47"/>
    <w:rsid w:val="007D5642"/>
    <w:rsid w:val="00833E2B"/>
    <w:rsid w:val="008456CE"/>
    <w:rsid w:val="008A0EA8"/>
    <w:rsid w:val="008E4A2F"/>
    <w:rsid w:val="009040BD"/>
    <w:rsid w:val="0098262F"/>
    <w:rsid w:val="00985FFE"/>
    <w:rsid w:val="009D4148"/>
    <w:rsid w:val="00A12809"/>
    <w:rsid w:val="00A30D55"/>
    <w:rsid w:val="00A50060"/>
    <w:rsid w:val="00A97492"/>
    <w:rsid w:val="00AA320A"/>
    <w:rsid w:val="00AA4DAA"/>
    <w:rsid w:val="00AB77B2"/>
    <w:rsid w:val="00AD316B"/>
    <w:rsid w:val="00B06B83"/>
    <w:rsid w:val="00B37365"/>
    <w:rsid w:val="00B51FC6"/>
    <w:rsid w:val="00B77F94"/>
    <w:rsid w:val="00B77FB8"/>
    <w:rsid w:val="00B85C4D"/>
    <w:rsid w:val="00BC6A48"/>
    <w:rsid w:val="00C12F12"/>
    <w:rsid w:val="00C42ADA"/>
    <w:rsid w:val="00C77836"/>
    <w:rsid w:val="00C91FC5"/>
    <w:rsid w:val="00CC4CF9"/>
    <w:rsid w:val="00D547B1"/>
    <w:rsid w:val="00D723BF"/>
    <w:rsid w:val="00D859FD"/>
    <w:rsid w:val="00DA00EF"/>
    <w:rsid w:val="00DA4962"/>
    <w:rsid w:val="00E15907"/>
    <w:rsid w:val="00E17640"/>
    <w:rsid w:val="00E31476"/>
    <w:rsid w:val="00E46157"/>
    <w:rsid w:val="00E80171"/>
    <w:rsid w:val="00E92D8E"/>
    <w:rsid w:val="00ED1ECC"/>
    <w:rsid w:val="00EE69DF"/>
    <w:rsid w:val="00F266C7"/>
    <w:rsid w:val="00F427DB"/>
    <w:rsid w:val="00F620C6"/>
    <w:rsid w:val="00F63061"/>
    <w:rsid w:val="00F9705B"/>
    <w:rsid w:val="00FC070C"/>
    <w:rsid w:val="00FF7A27"/>
    <w:rsid w:val="020372A9"/>
    <w:rsid w:val="021E1B74"/>
    <w:rsid w:val="023D0B8F"/>
    <w:rsid w:val="03787ADC"/>
    <w:rsid w:val="0438006D"/>
    <w:rsid w:val="056C5B99"/>
    <w:rsid w:val="05B412A6"/>
    <w:rsid w:val="061C410F"/>
    <w:rsid w:val="063D117C"/>
    <w:rsid w:val="070003B8"/>
    <w:rsid w:val="07051E5C"/>
    <w:rsid w:val="07965FFE"/>
    <w:rsid w:val="096B4234"/>
    <w:rsid w:val="0988000E"/>
    <w:rsid w:val="0ABC769A"/>
    <w:rsid w:val="0B1E3448"/>
    <w:rsid w:val="0B857789"/>
    <w:rsid w:val="0C022CC0"/>
    <w:rsid w:val="0C61654F"/>
    <w:rsid w:val="0C677261"/>
    <w:rsid w:val="0D6D5B36"/>
    <w:rsid w:val="0DE66D07"/>
    <w:rsid w:val="0E7C1770"/>
    <w:rsid w:val="0F11369E"/>
    <w:rsid w:val="10482BD9"/>
    <w:rsid w:val="104C59F8"/>
    <w:rsid w:val="10796D74"/>
    <w:rsid w:val="11206DF3"/>
    <w:rsid w:val="12515D71"/>
    <w:rsid w:val="12EE4A45"/>
    <w:rsid w:val="13623FB2"/>
    <w:rsid w:val="144E2788"/>
    <w:rsid w:val="14EF780E"/>
    <w:rsid w:val="16C90EC2"/>
    <w:rsid w:val="18E11E1D"/>
    <w:rsid w:val="192B3DAB"/>
    <w:rsid w:val="19C3210F"/>
    <w:rsid w:val="19FF69FF"/>
    <w:rsid w:val="1A951111"/>
    <w:rsid w:val="1AEB304F"/>
    <w:rsid w:val="1DB6604E"/>
    <w:rsid w:val="1E0C4D82"/>
    <w:rsid w:val="1E3F4573"/>
    <w:rsid w:val="1E876FC3"/>
    <w:rsid w:val="1F040613"/>
    <w:rsid w:val="1FB97650"/>
    <w:rsid w:val="20937887"/>
    <w:rsid w:val="217E3032"/>
    <w:rsid w:val="22252074"/>
    <w:rsid w:val="22B50ABD"/>
    <w:rsid w:val="237A7F73"/>
    <w:rsid w:val="23FD1C3F"/>
    <w:rsid w:val="243D2E38"/>
    <w:rsid w:val="245060A9"/>
    <w:rsid w:val="245142FB"/>
    <w:rsid w:val="25626093"/>
    <w:rsid w:val="25B74631"/>
    <w:rsid w:val="266E240C"/>
    <w:rsid w:val="27E740D0"/>
    <w:rsid w:val="28861756"/>
    <w:rsid w:val="28923312"/>
    <w:rsid w:val="296E14AB"/>
    <w:rsid w:val="2B473293"/>
    <w:rsid w:val="2B5841C1"/>
    <w:rsid w:val="2BF51A0F"/>
    <w:rsid w:val="2E022F43"/>
    <w:rsid w:val="2FE9188B"/>
    <w:rsid w:val="30F71D86"/>
    <w:rsid w:val="31F664E1"/>
    <w:rsid w:val="323C20D9"/>
    <w:rsid w:val="330B1B18"/>
    <w:rsid w:val="35092088"/>
    <w:rsid w:val="35564C49"/>
    <w:rsid w:val="367F5432"/>
    <w:rsid w:val="36A6729E"/>
    <w:rsid w:val="36F2665B"/>
    <w:rsid w:val="37172771"/>
    <w:rsid w:val="377650DA"/>
    <w:rsid w:val="377B15DA"/>
    <w:rsid w:val="38D30D48"/>
    <w:rsid w:val="3A1E0383"/>
    <w:rsid w:val="3B666B9C"/>
    <w:rsid w:val="3BAC19BF"/>
    <w:rsid w:val="3C663A24"/>
    <w:rsid w:val="3CB82E16"/>
    <w:rsid w:val="3D053D82"/>
    <w:rsid w:val="3D346110"/>
    <w:rsid w:val="3DAD52B5"/>
    <w:rsid w:val="3DB57251"/>
    <w:rsid w:val="3E043D34"/>
    <w:rsid w:val="3EBE2135"/>
    <w:rsid w:val="3EC0145C"/>
    <w:rsid w:val="40B40711"/>
    <w:rsid w:val="435830EA"/>
    <w:rsid w:val="43BB4E95"/>
    <w:rsid w:val="43E95AE5"/>
    <w:rsid w:val="445E6664"/>
    <w:rsid w:val="450F33DF"/>
    <w:rsid w:val="4577128F"/>
    <w:rsid w:val="459A7498"/>
    <w:rsid w:val="45D60A99"/>
    <w:rsid w:val="461C30E7"/>
    <w:rsid w:val="46DF0E9A"/>
    <w:rsid w:val="4760647F"/>
    <w:rsid w:val="47C36A0E"/>
    <w:rsid w:val="48826B4D"/>
    <w:rsid w:val="488A0367"/>
    <w:rsid w:val="48FD7A16"/>
    <w:rsid w:val="49BD049D"/>
    <w:rsid w:val="4A18054E"/>
    <w:rsid w:val="4AB1082C"/>
    <w:rsid w:val="4BDD3BBA"/>
    <w:rsid w:val="4E1F4272"/>
    <w:rsid w:val="4E345F70"/>
    <w:rsid w:val="51CF7E36"/>
    <w:rsid w:val="533E3905"/>
    <w:rsid w:val="53975984"/>
    <w:rsid w:val="539F20DD"/>
    <w:rsid w:val="53DC50DF"/>
    <w:rsid w:val="54121DDC"/>
    <w:rsid w:val="55816945"/>
    <w:rsid w:val="55FC1B92"/>
    <w:rsid w:val="56462CE4"/>
    <w:rsid w:val="56E82633"/>
    <w:rsid w:val="570A1F63"/>
    <w:rsid w:val="57257623"/>
    <w:rsid w:val="57A8352A"/>
    <w:rsid w:val="57D5421E"/>
    <w:rsid w:val="5850492C"/>
    <w:rsid w:val="5854456A"/>
    <w:rsid w:val="586631C9"/>
    <w:rsid w:val="58C34D22"/>
    <w:rsid w:val="59311D84"/>
    <w:rsid w:val="59C31E69"/>
    <w:rsid w:val="5A6B2D19"/>
    <w:rsid w:val="5A882BE7"/>
    <w:rsid w:val="5B9A2DDE"/>
    <w:rsid w:val="5C3F445D"/>
    <w:rsid w:val="5C5E240A"/>
    <w:rsid w:val="5D417D61"/>
    <w:rsid w:val="5D4F79CA"/>
    <w:rsid w:val="5E6F6B50"/>
    <w:rsid w:val="5FE641D0"/>
    <w:rsid w:val="61006C22"/>
    <w:rsid w:val="61167757"/>
    <w:rsid w:val="61434CE1"/>
    <w:rsid w:val="62DB0C58"/>
    <w:rsid w:val="62F12229"/>
    <w:rsid w:val="64012005"/>
    <w:rsid w:val="645B798F"/>
    <w:rsid w:val="64B13EEE"/>
    <w:rsid w:val="64E6196E"/>
    <w:rsid w:val="64E84E8D"/>
    <w:rsid w:val="65876D60"/>
    <w:rsid w:val="676F1572"/>
    <w:rsid w:val="684E77D6"/>
    <w:rsid w:val="69702ECB"/>
    <w:rsid w:val="6A081D8E"/>
    <w:rsid w:val="6A2D2E6D"/>
    <w:rsid w:val="6BDA7C17"/>
    <w:rsid w:val="6C164AAF"/>
    <w:rsid w:val="6CBB63DE"/>
    <w:rsid w:val="6CE2561C"/>
    <w:rsid w:val="6CF748E0"/>
    <w:rsid w:val="6D911BB2"/>
    <w:rsid w:val="6DCA1A0F"/>
    <w:rsid w:val="6E102D14"/>
    <w:rsid w:val="6E1C5509"/>
    <w:rsid w:val="6E6E1C7A"/>
    <w:rsid w:val="6F660530"/>
    <w:rsid w:val="6FB24AEE"/>
    <w:rsid w:val="703B23DF"/>
    <w:rsid w:val="716D160E"/>
    <w:rsid w:val="71AF3E21"/>
    <w:rsid w:val="728944EA"/>
    <w:rsid w:val="73421520"/>
    <w:rsid w:val="73740A39"/>
    <w:rsid w:val="745A7D86"/>
    <w:rsid w:val="74B86703"/>
    <w:rsid w:val="7508712A"/>
    <w:rsid w:val="75FC36D1"/>
    <w:rsid w:val="76DC6287"/>
    <w:rsid w:val="77923C23"/>
    <w:rsid w:val="785F1E44"/>
    <w:rsid w:val="78C0202A"/>
    <w:rsid w:val="79022643"/>
    <w:rsid w:val="79AE6327"/>
    <w:rsid w:val="79B53B59"/>
    <w:rsid w:val="7A3D5A83"/>
    <w:rsid w:val="7D3038A0"/>
    <w:rsid w:val="7E1333B9"/>
    <w:rsid w:val="7E39798C"/>
    <w:rsid w:val="7EBC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0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3"/>
    <w:next w:val="3"/>
    <w:link w:val="19"/>
    <w:qFormat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annotation reference"/>
    <w:basedOn w:val="12"/>
    <w:qFormat/>
    <w:uiPriority w:val="0"/>
    <w:rPr>
      <w:sz w:val="21"/>
      <w:szCs w:val="21"/>
    </w:rPr>
  </w:style>
  <w:style w:type="character" w:customStyle="1" w:styleId="16">
    <w:name w:val="标题 1 字符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7">
    <w:name w:val="批注框文本 字符"/>
    <w:link w:val="4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8">
    <w:name w:val="批注文字 字符"/>
    <w:basedOn w:val="12"/>
    <w:link w:val="3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9">
    <w:name w:val="批注主题 字符"/>
    <w:basedOn w:val="18"/>
    <w:link w:val="9"/>
    <w:qFormat/>
    <w:uiPriority w:val="0"/>
    <w:rPr>
      <w:rFonts w:ascii="Calibri" w:hAnsi="Calibri"/>
      <w:b/>
      <w:bCs/>
      <w:kern w:val="2"/>
      <w:sz w:val="21"/>
      <w:szCs w:val="22"/>
    </w:rPr>
  </w:style>
  <w:style w:type="character" w:customStyle="1" w:styleId="20">
    <w:name w:val="HTML 预设格式 Char"/>
    <w:basedOn w:val="12"/>
    <w:link w:val="7"/>
    <w:qFormat/>
    <w:uiPriority w:val="0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9" Type="http://schemas.openxmlformats.org/officeDocument/2006/relationships/fontTable" Target="fontTable.xml"/><Relationship Id="rId68" Type="http://schemas.openxmlformats.org/officeDocument/2006/relationships/numbering" Target="numbering.xml"/><Relationship Id="rId67" Type="http://schemas.openxmlformats.org/officeDocument/2006/relationships/customXml" Target="../customXml/item1.xml"/><Relationship Id="rId66" Type="http://schemas.openxmlformats.org/officeDocument/2006/relationships/image" Target="media/image37.jpeg"/><Relationship Id="rId65" Type="http://schemas.openxmlformats.org/officeDocument/2006/relationships/image" Target="media/image36.jpeg"/><Relationship Id="rId64" Type="http://schemas.openxmlformats.org/officeDocument/2006/relationships/image" Target="media/image35.png"/><Relationship Id="rId63" Type="http://schemas.openxmlformats.org/officeDocument/2006/relationships/image" Target="media/image34.png"/><Relationship Id="rId62" Type="http://schemas.openxmlformats.org/officeDocument/2006/relationships/image" Target="media/image33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2.png"/><Relationship Id="rId6" Type="http://schemas.openxmlformats.org/officeDocument/2006/relationships/image" Target="media/image1.png"/><Relationship Id="rId59" Type="http://schemas.openxmlformats.org/officeDocument/2006/relationships/image" Target="media/image31.png"/><Relationship Id="rId58" Type="http://schemas.openxmlformats.org/officeDocument/2006/relationships/image" Target="media/image30.png"/><Relationship Id="rId57" Type="http://schemas.openxmlformats.org/officeDocument/2006/relationships/image" Target="media/image29.png"/><Relationship Id="rId56" Type="http://schemas.openxmlformats.org/officeDocument/2006/relationships/image" Target="media/image28.png"/><Relationship Id="rId55" Type="http://schemas.openxmlformats.org/officeDocument/2006/relationships/image" Target="media/image27.png"/><Relationship Id="rId54" Type="http://schemas.openxmlformats.org/officeDocument/2006/relationships/image" Target="media/image26.png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oleObject" Target="embeddings/oleObject20.bin"/><Relationship Id="rId47" Type="http://schemas.openxmlformats.org/officeDocument/2006/relationships/oleObject" Target="embeddings/oleObject19.bin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wmf"/><Relationship Id="rId24" Type="http://schemas.openxmlformats.org/officeDocument/2006/relationships/oleObject" Target="embeddings/oleObject7.bin"/><Relationship Id="rId23" Type="http://schemas.openxmlformats.org/officeDocument/2006/relationships/image" Target="media/image12.wmf"/><Relationship Id="rId22" Type="http://schemas.openxmlformats.org/officeDocument/2006/relationships/oleObject" Target="embeddings/oleObject6.bin"/><Relationship Id="rId21" Type="http://schemas.openxmlformats.org/officeDocument/2006/relationships/image" Target="media/image11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4.bin"/><Relationship Id="rId17" Type="http://schemas.openxmlformats.org/officeDocument/2006/relationships/image" Target="media/image9.wmf"/><Relationship Id="rId16" Type="http://schemas.openxmlformats.org/officeDocument/2006/relationships/oleObject" Target="embeddings/oleObject3.bin"/><Relationship Id="rId15" Type="http://schemas.openxmlformats.org/officeDocument/2006/relationships/image" Target="media/image8.wmf"/><Relationship Id="rId14" Type="http://schemas.openxmlformats.org/officeDocument/2006/relationships/oleObject" Target="embeddings/oleObject2.bin"/><Relationship Id="rId13" Type="http://schemas.openxmlformats.org/officeDocument/2006/relationships/image" Target="media/image7.w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1470</Words>
  <Characters>1498</Characters>
  <Lines>10</Lines>
  <Paragraphs>3</Paragraphs>
  <TotalTime>26</TotalTime>
  <ScaleCrop>false</ScaleCrop>
  <LinksUpToDate>false</LinksUpToDate>
  <CharactersWithSpaces>1525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2023-03-14T11:56:00Z</dcterms:created>
  <dcterms:modified xsi:type="dcterms:W3CDTF">2025-04-19T04:16:23Z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CB471D7CD9574C7C87664F02DCD1699C_13</vt:lpwstr>
  </property>
  <property fmtid="{D5CDD505-2E9C-101B-9397-08002B2CF9AE}" pid="4" name="KSOTemplateDocerSaveRecord">
    <vt:lpwstr>eyJoZGlkIjoiYTI1ZDMwZGFmMTY1M2JhMjgzN2M2MjY2NTc3NjFhMjciLCJ1c2VySWQiOiIxNDExODU4NjIzIn0=</vt:lpwstr>
  </property>
</Properties>
</file>