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8  ·  13 October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now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The downstream backlog, acceptance cases, architecture and UI flows are being aligned to these decisions in this change set; implementation and Jira reconciliation follow the repository's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r>
        <w:t>Release 1 grows beyond 47 stories and 155 points. The new story count, estimates and sprint placement are set in the backlog PR that follows this one; the architecture, C4 model, user flows, database schema and ADR-003, ADR-007, ADR-009 and ADR-012 all change and are handled in the architecture PR.</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ADR-012 is amended to remove the single-role constraint.</w:t>
            </w:r>
          </w:p>
        </w:tc>
        <w:tc>
          <w:tcPr>
            <w:tcW w:type="dxa" w:w="1728"/>
          </w:tcPr>
          <w:p>
            <w:r>
              <w:t>C-69, C-70, C-84, C-136, C-57, T-72, T-86</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22 stories are held in the product backlog for future releases. Two further rows (E05-S05 and E10-S05) are kept below although they returned to Release 1 in version 6, so the reason they were once out, and the customer change that brought them back, can both be read.</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