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9  ·  13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131026.xlsx`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were aligned for those changes; the remaining architecture, UI flows, implementation, Jira reconciliation and peer review are tracked in the impact register.</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T-91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ADR-012 is amended to remove the single-role constraint.</w:t>
            </w:r>
          </w:p>
        </w:tc>
        <w:tc>
          <w:tcPr>
            <w:tcW w:type="dxa" w:w="1728"/>
          </w:tcPr>
          <w:p>
            <w:r>
              <w:t>C-69, C-70, C-84, C-136, C-57, T-72, T-86</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22 stories are held in the product backlog for future releases. Two further rows (E05-S05 and E10-S05) are kept below although they returned to Release 1 in version 6, so the reason they were once out, and the customer change that brought them back, can both be read.</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Out of Release 1, retained as future scope. Hsu (G2) confirmed a user may hold different roles depending on organisation structure, so this is a real requirement, not speculation. Release 1 assumes one role per account.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Not among the 20 core features required for the first release; retained as future scope.</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Withdrawn from Release 1 in version 4. Bryan (G1), Week 4 (C-62): multi-session events must be set up as separate events, and the Organiser creates one event per session. Multi-session was never among the twenty core features in the Week 4 instructions, so this realigns the release with them. Retained here as future scope. Withdrawing it also retires ADR-004 and ADR-005.</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