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6  ·  30 September 2026</w:t>
      </w:r>
    </w:p>
    <w:p>
      <w:r>
        <w:t>Seventeen Markdown decisions: fifteen Accepted and two Retired. Each records the forces that applied, what was chosen, what was rejected and why, and the consequences including the ones that hurt.</w:t>
      </w:r>
    </w:p>
    <w:p>
      <w:r>
        <w:t>Version 6 adds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RETIRED](./ADR-004-sessions-as-a-first-class-entity-retired.md)</w:t>
      </w:r>
    </w:p>
    <w:p>
      <w:pPr>
        <w:pStyle w:val="ListBullet"/>
      </w:pPr>
      <w:r>
        <w:rPr>
          <w:sz w:val="22"/>
        </w:rPr>
        <w:t>[ADR-005 — Denormalise event_id, guarded by a composite foreign key — RETIRED](./ADR-005-denormalise-event-id-guarded-by-a-composite-foreign-key-retired.md)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five roles](./ADR-007-one-single-page-application-for-all-five-roles.md)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r>
        <w:br w:type="page"/>
      </w:r>
    </w:p>
    <w:p>
      <w:pPr>
        <w:pStyle w:val="Heading1"/>
      </w:pPr>
      <w:r>
        <w:rPr>
          <w:sz w:val="32"/>
        </w:rPr>
        <w:t>ADR-006 — Transactional outbox for notification delivery</w:t>
      </w:r>
    </w:p>
    <w:p>
      <w:pPr>
        <w:pStyle w:val="ListBullet"/>
      </w:pPr>
      <w:r>
        <w:rPr>
          <w:sz w:val="22"/>
        </w:rPr>
        <w:t>**Status:** Accepted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r>
        <w:br w:type="page"/>
      </w:r>
    </w:p>
    <w:p>
      <w:pPr>
        <w:pStyle w:val="Heading1"/>
      </w:pPr>
      <w:r>
        <w:rPr>
          <w:sz w:val="32"/>
        </w:rPr>
        <w:t>ADR-007 — One single-page application for all five roles</w:t>
      </w:r>
    </w:p>
    <w:p>
      <w:pPr>
        <w:pStyle w:val="ListBullet"/>
      </w:pPr>
      <w:r>
        <w:rPr>
          <w:sz w:val="22"/>
        </w:rPr>
        <w:t>**Status:** Accepted</w:t>
      </w:r>
    </w:p>
    <w:p>
      <w:pPr>
        <w:pStyle w:val="ListBullet"/>
      </w:pPr>
      <w:r>
        <w:rPr>
          <w:sz w:val="22"/>
        </w:rPr>
        <w:t>**Related BDR:** —</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w:t>
      </w:r>
    </w:p>
    <w:p>
      <w:pPr>
        <w:pStyle w:val="Heading3"/>
      </w:pPr>
      <w:r>
        <w:rPr>
          <w:sz w:val="24"/>
        </w:rPr>
        <w:t>Context</w:t>
      </w:r>
    </w:p>
    <w:p>
      <w:r>
        <w:t>E14-S02 records event status changes, denied access attempts, venue booking decisions and account deactivations.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Accepted</w:t>
      </w:r>
    </w:p>
    <w:p>
      <w:pPr>
        <w:pStyle w:val="ListBullet"/>
      </w:pPr>
      <w:r>
        <w:rPr>
          <w:sz w:val="22"/>
        </w:rPr>
        <w:t>**Related BDR:** C-33, T-10</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sign-in currently sends</w:t>
      </w:r>
    </w:p>
    <w:p>
      <w:r>
        <w:t>every staff role to the Organiser-only `/events` page, because the login</w:t>
      </w:r>
    </w:p>
    <w:p>
      <w:r>
        <w:t>redirect was never updated when role pages went live.</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started when this decision was made,</w:t>
      </w:r>
    </w:p>
    <w:p>
      <w:r>
        <w:t>E03-S02 (SCRUM-33) and E03-S03 (SCRUM-34), were rolled to Sprint 3 and will be</w:t>
      </w:r>
    </w:p>
    <w:p>
      <w:r>
        <w:t>built end to end by their owner under this model.</w:t>
      </w:r>
    </w:p>
    <w:p>
      <w:r>
        <w:t>This decision does not mark any story complete or change any acceptance</w:t>
      </w:r>
    </w:p>
    <w:p>
      <w:r>
        <w:t>criteria.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