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822AD9" w14:textId="4EDB3984" w:rsidR="00F256B4" w:rsidRDefault="00000000">
      <w:pPr>
        <w:pStyle w:val="1"/>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Physically Grounded Neural Networks: From </w:t>
      </w:r>
      <w:r>
        <w:rPr>
          <w:rFonts w:ascii="Times New Roman" w:hAnsi="Times New Roman" w:cs="Times New Roman"/>
          <w:sz w:val="28"/>
          <w:szCs w:val="28"/>
          <w:lang w:val="en-US"/>
        </w:rPr>
        <w:t>Physical Substrates</w:t>
      </w:r>
      <w:r>
        <w:rPr>
          <w:rFonts w:ascii="Times New Roman" w:hAnsi="Times New Roman" w:cs="Times New Roman"/>
          <w:sz w:val="28"/>
          <w:szCs w:val="28"/>
          <w:lang w:val="en-US"/>
        </w:rPr>
        <w:t xml:space="preserve"> to Physics-</w:t>
      </w:r>
      <w:r>
        <w:rPr>
          <w:rFonts w:ascii="Times New Roman" w:hAnsi="Times New Roman" w:cs="Times New Roman"/>
          <w:sz w:val="28"/>
          <w:szCs w:val="28"/>
          <w:lang w:val="en-US"/>
        </w:rPr>
        <w:t>Integrated</w:t>
      </w:r>
      <w:r>
        <w:rPr>
          <w:rFonts w:ascii="Times New Roman" w:hAnsi="Times New Roman" w:cs="Times New Roman"/>
          <w:sz w:val="28"/>
          <w:szCs w:val="28"/>
          <w:lang w:val="en-US"/>
        </w:rPr>
        <w:t xml:space="preserve"> Learning</w:t>
      </w:r>
    </w:p>
    <w:p w14:paraId="47B29056" w14:textId="77777777" w:rsidR="00F256B4" w:rsidRDefault="00000000">
      <w:pPr>
        <w:pStyle w:val="FirstParagraph"/>
        <w:jc w:val="cente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Hongyi Yang</w:t>
      </w:r>
      <w:r>
        <w:rPr>
          <w:rFonts w:ascii="Times New Roman" w:hAnsi="Times New Roman" w:cs="Times New Roman"/>
          <w:color w:val="000000" w:themeColor="text1"/>
          <w:sz w:val="21"/>
          <w:szCs w:val="21"/>
          <w:vertAlign w:val="superscript"/>
        </w:rPr>
        <w:t>1</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Wendi</w:t>
      </w:r>
      <w:r>
        <w:rPr>
          <w:rFonts w:ascii="Times New Roman" w:hAnsi="Times New Roman" w:cs="Times New Roman"/>
          <w:color w:val="000000" w:themeColor="text1"/>
          <w:sz w:val="21"/>
          <w:szCs w:val="21"/>
        </w:rPr>
        <w:t xml:space="preserve"> Xia</w:t>
      </w:r>
      <w:r>
        <w:rPr>
          <w:rFonts w:ascii="Times New Roman" w:hAnsi="Times New Roman" w:cs="Times New Roman"/>
          <w:color w:val="000000" w:themeColor="text1"/>
          <w:sz w:val="21"/>
          <w:szCs w:val="21"/>
          <w:vertAlign w:val="superscript"/>
        </w:rPr>
        <w:t>1</w:t>
      </w:r>
      <w:r>
        <w:rPr>
          <w:rFonts w:ascii="Times New Roman" w:hAnsi="Times New Roman" w:cs="Times New Roman"/>
          <w:color w:val="000000" w:themeColor="text1"/>
          <w:sz w:val="21"/>
          <w:szCs w:val="21"/>
        </w:rPr>
        <w:t>, Jun Li</w:t>
      </w:r>
      <w:r>
        <w:rPr>
          <w:rFonts w:ascii="Times New Roman" w:hAnsi="Times New Roman" w:cs="Times New Roman"/>
          <w:color w:val="000000" w:themeColor="text1"/>
          <w:sz w:val="21"/>
          <w:szCs w:val="21"/>
          <w:vertAlign w:val="superscript"/>
        </w:rPr>
        <w:t>1</w:t>
      </w:r>
      <w:r>
        <w:rPr>
          <w:rFonts w:ascii="Times New Roman" w:hAnsi="Times New Roman" w:cs="Times New Roman"/>
          <w:color w:val="000000" w:themeColor="text1"/>
          <w:sz w:val="21"/>
          <w:szCs w:val="21"/>
        </w:rPr>
        <w:t>, Dexin Ye</w:t>
      </w:r>
      <w:r>
        <w:rPr>
          <w:rFonts w:ascii="Times New Roman" w:hAnsi="Times New Roman" w:cs="Times New Roman"/>
          <w:color w:val="000000" w:themeColor="text1"/>
          <w:sz w:val="21"/>
          <w:szCs w:val="21"/>
          <w:vertAlign w:val="superscript"/>
        </w:rPr>
        <w:t>1, *</w:t>
      </w:r>
      <w:r>
        <w:rPr>
          <w:rFonts w:ascii="Times New Roman" w:hAnsi="Times New Roman" w:cs="Times New Roman"/>
          <w:color w:val="000000" w:themeColor="text1"/>
          <w:sz w:val="21"/>
          <w:szCs w:val="21"/>
        </w:rPr>
        <w:t>, Haoliang Qian</w:t>
      </w:r>
      <w:r>
        <w:rPr>
          <w:rFonts w:ascii="Times New Roman" w:hAnsi="Times New Roman" w:cs="Times New Roman"/>
          <w:color w:val="000000" w:themeColor="text1"/>
          <w:sz w:val="21"/>
          <w:szCs w:val="21"/>
          <w:vertAlign w:val="superscript"/>
        </w:rPr>
        <w:t>1, *</w:t>
      </w:r>
    </w:p>
    <w:p w14:paraId="2858145A" w14:textId="77777777" w:rsidR="00F256B4" w:rsidRDefault="0000000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vertAlign w:val="superscript"/>
        </w:rPr>
        <w:t>1</w:t>
      </w:r>
      <w:r>
        <w:rPr>
          <w:rFonts w:ascii="Times New Roman" w:hAnsi="Times New Roman" w:cs="Times New Roman"/>
          <w:color w:val="000000" w:themeColor="text1"/>
          <w:sz w:val="21"/>
          <w:szCs w:val="21"/>
        </w:rPr>
        <w:t>State Key Laboratory of Extreme Photonics and Instrumentation, ZJU-Hangzhou Global Scientific and Technological Innovation Center, College of Information Science and Electronic Engineering, Zhejiang University, Hangzhou, 310027, China.</w:t>
      </w:r>
    </w:p>
    <w:p w14:paraId="561183C1" w14:textId="77777777" w:rsidR="00F256B4" w:rsidRDefault="00000000">
      <w:pPr>
        <w:pStyle w:val="FirstParagraph"/>
        <w:spacing w:before="120"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vertAlign w:val="superscript"/>
        </w:rPr>
        <w:t>*</w:t>
      </w:r>
      <w:r>
        <w:rPr>
          <w:rFonts w:ascii="Times New Roman" w:hAnsi="Times New Roman" w:cs="Times New Roman"/>
          <w:color w:val="000000" w:themeColor="text1"/>
          <w:sz w:val="20"/>
          <w:szCs w:val="20"/>
        </w:rPr>
        <w:t>Corresponding author: desy@zju.edu.cn; haoliangqian@zju.edu.cn.</w:t>
      </w:r>
    </w:p>
    <w:p w14:paraId="78F872C1" w14:textId="77777777" w:rsidR="00F256B4" w:rsidRDefault="00F256B4">
      <w:pPr>
        <w:pStyle w:val="2"/>
        <w:jc w:val="both"/>
        <w:rPr>
          <w:rFonts w:ascii="Times New Roman" w:hAnsi="Times New Roman" w:cs="Times New Roman"/>
          <w:sz w:val="24"/>
          <w:szCs w:val="24"/>
          <w:lang w:val="en-US"/>
        </w:rPr>
      </w:pPr>
    </w:p>
    <w:p w14:paraId="6E5748AD" w14:textId="77777777"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Abstract</w:t>
      </w:r>
    </w:p>
    <w:p w14:paraId="258C0AB6" w14:textId="1977906A" w:rsidR="00F256B4" w:rsidRDefault="00000000">
      <w:pPr>
        <w:spacing w:line="276" w:lineRule="auto"/>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Neural networks are moving beyond purely digital scaling toward physically grounded forms of computation and learning. Here we review two complementary routes: </w:t>
      </w:r>
      <w:r>
        <w:rPr>
          <w:rFonts w:ascii="Times New Roman" w:hAnsi="Times New Roman" w:cs="Times New Roman"/>
          <w:sz w:val="21"/>
          <w:szCs w:val="21"/>
          <w:lang w:val="en-US"/>
        </w:rPr>
        <w:t>physical neural networks</w:t>
      </w:r>
      <w:r>
        <w:rPr>
          <w:rFonts w:ascii="Times New Roman" w:hAnsi="Times New Roman" w:cs="Times New Roman"/>
          <w:sz w:val="21"/>
          <w:szCs w:val="21"/>
          <w:lang w:val="en-US"/>
        </w:rPr>
        <w:t>, in which optical, quantum, memristive or biomolecular substrates perform neural transformations, and physics-</w:t>
      </w:r>
      <w:r>
        <w:rPr>
          <w:rFonts w:ascii="Times New Roman" w:hAnsi="Times New Roman" w:cs="Times New Roman"/>
          <w:sz w:val="21"/>
          <w:szCs w:val="21"/>
          <w:lang w:val="en-US"/>
        </w:rPr>
        <w:t>integrated</w:t>
      </w:r>
      <w:r>
        <w:rPr>
          <w:rFonts w:ascii="Times New Roman" w:hAnsi="Times New Roman" w:cs="Times New Roman"/>
          <w:sz w:val="21"/>
          <w:szCs w:val="21"/>
          <w:lang w:val="en-US"/>
        </w:rPr>
        <w:t xml:space="preserve"> learning, in which scientific laws restrict the hypothesis space of neural models. We compare the motivations, advantages and limits of these routes, </w:t>
      </w:r>
      <w:r w:rsidR="00956E03" w:rsidRPr="00956E03">
        <w:rPr>
          <w:rFonts w:ascii="Times New Roman" w:hAnsi="Times New Roman" w:cs="Times New Roman"/>
          <w:sz w:val="21"/>
          <w:szCs w:val="21"/>
          <w:lang w:val="en-US"/>
        </w:rPr>
        <w:t>survey</w:t>
      </w:r>
      <w:r>
        <w:rPr>
          <w:rFonts w:ascii="Times New Roman" w:hAnsi="Times New Roman" w:cs="Times New Roman"/>
          <w:sz w:val="21"/>
          <w:szCs w:val="21"/>
          <w:lang w:val="en-US"/>
        </w:rPr>
        <w:t xml:space="preserve"> recent progress in trainable physical neural networks, neural operators, hard-constrained scientific machine learning, Kolmogorov</w:t>
      </w:r>
      <w:r>
        <w:rPr>
          <w:rFonts w:ascii="Times New Roman" w:hAnsi="Times New Roman" w:cs="Times New Roman"/>
          <w:sz w:val="21"/>
          <w:szCs w:val="21"/>
          <w:lang w:val="en-US"/>
        </w:rPr>
        <w:t>–</w:t>
      </w:r>
      <w:r>
        <w:rPr>
          <w:rFonts w:ascii="Times New Roman" w:hAnsi="Times New Roman" w:cs="Times New Roman"/>
          <w:sz w:val="21"/>
          <w:szCs w:val="21"/>
          <w:lang w:val="en-US"/>
        </w:rPr>
        <w:t xml:space="preserve">Arnold architectures and agentic scientific machine learning, and discuss how future systems may co-design substrate physics, learning rules and target-domain physical laws. This </w:t>
      </w:r>
      <w:r>
        <w:rPr>
          <w:rFonts w:ascii="Times New Roman" w:hAnsi="Times New Roman" w:cs="Times New Roman"/>
          <w:sz w:val="21"/>
          <w:szCs w:val="21"/>
          <w:lang w:val="en-US"/>
        </w:rPr>
        <w:t>review</w:t>
      </w:r>
      <w:r>
        <w:rPr>
          <w:rFonts w:ascii="Times New Roman" w:hAnsi="Times New Roman" w:cs="Times New Roman"/>
          <w:sz w:val="21"/>
          <w:szCs w:val="21"/>
          <w:lang w:val="en-US"/>
        </w:rPr>
        <w:t xml:space="preserve"> connects energy-efficient physical computation with reliable scientific prediction and defines physically grounded neural networks as an emerging </w:t>
      </w:r>
      <w:r>
        <w:rPr>
          <w:rFonts w:ascii="Times New Roman" w:hAnsi="Times New Roman" w:cs="Times New Roman"/>
          <w:sz w:val="21"/>
          <w:szCs w:val="21"/>
          <w:lang w:val="en-US"/>
        </w:rPr>
        <w:t xml:space="preserve">rather than established </w:t>
      </w:r>
      <w:r>
        <w:rPr>
          <w:rFonts w:ascii="Times New Roman" w:hAnsi="Times New Roman" w:cs="Times New Roman"/>
          <w:sz w:val="21"/>
          <w:szCs w:val="21"/>
          <w:lang w:val="en-US"/>
        </w:rPr>
        <w:t xml:space="preserve">framework for </w:t>
      </w:r>
      <w:r>
        <w:rPr>
          <w:rFonts w:ascii="Times New Roman" w:hAnsi="Times New Roman" w:cs="Times New Roman"/>
          <w:sz w:val="21"/>
          <w:szCs w:val="21"/>
          <w:lang w:val="en-US"/>
        </w:rPr>
        <w:t xml:space="preserve">the co-design of </w:t>
      </w:r>
      <w:r>
        <w:rPr>
          <w:rFonts w:ascii="Times New Roman" w:hAnsi="Times New Roman" w:cs="Times New Roman"/>
          <w:sz w:val="21"/>
          <w:szCs w:val="21"/>
          <w:lang w:val="en-US"/>
        </w:rPr>
        <w:t xml:space="preserve">physical </w:t>
      </w:r>
      <w:r>
        <w:rPr>
          <w:rFonts w:ascii="Times New Roman" w:hAnsi="Times New Roman" w:cs="Times New Roman"/>
          <w:sz w:val="21"/>
          <w:szCs w:val="21"/>
          <w:lang w:val="en-US"/>
        </w:rPr>
        <w:t>substrates and physical law</w:t>
      </w:r>
      <w:r>
        <w:rPr>
          <w:rFonts w:ascii="Times New Roman" w:hAnsi="Times New Roman" w:cs="Times New Roman"/>
          <w:sz w:val="21"/>
          <w:szCs w:val="21"/>
          <w:lang w:val="en-US"/>
        </w:rPr>
        <w:t>.</w:t>
      </w:r>
    </w:p>
    <w:p w14:paraId="0883B752" w14:textId="77777777"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I. INTRODUCTION</w:t>
      </w:r>
    </w:p>
    <w:p w14:paraId="401C780A" w14:textId="5B21C910"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Neural networks have become a general language for function approximation, representation learning and scientific </w:t>
      </w:r>
      <w:r>
        <w:rPr>
          <w:rFonts w:ascii="Times New Roman" w:hAnsi="Times New Roman" w:cs="Times New Roman"/>
          <w:sz w:val="21"/>
          <w:szCs w:val="21"/>
          <w:lang w:val="en-US"/>
        </w:rPr>
        <w:t>modeling</w:t>
      </w:r>
      <w:r>
        <w:rPr>
          <w:rFonts w:ascii="Times New Roman" w:hAnsi="Times New Roman" w:cs="Times New Roman"/>
          <w:sz w:val="21"/>
          <w:szCs w:val="21"/>
          <w:lang w:val="en-US"/>
        </w:rPr>
        <w:t xml:space="preserve">. Their development has moved from the perceptron and multilayer backpropagation to deep representation learning, attention-based sequence </w:t>
      </w:r>
      <w:r>
        <w:rPr>
          <w:rFonts w:ascii="Times New Roman" w:hAnsi="Times New Roman" w:cs="Times New Roman"/>
          <w:sz w:val="21"/>
          <w:szCs w:val="21"/>
          <w:lang w:val="en-US"/>
        </w:rPr>
        <w:t>modeling</w:t>
      </w:r>
      <w:r>
        <w:rPr>
          <w:rFonts w:ascii="Times New Roman" w:hAnsi="Times New Roman" w:cs="Times New Roman"/>
          <w:sz w:val="21"/>
          <w:szCs w:val="21"/>
          <w:lang w:val="en-US"/>
        </w:rPr>
        <w:t>, selective state-space architectures and interpretable alternatives such as Kolmogorov</w:t>
      </w:r>
      <w:r>
        <w:rPr>
          <w:rFonts w:ascii="Times New Roman" w:hAnsi="Times New Roman" w:cs="Times New Roman"/>
          <w:sz w:val="21"/>
          <w:szCs w:val="21"/>
          <w:lang w:val="en-US"/>
        </w:rPr>
        <w:t>–</w:t>
      </w:r>
      <w:r>
        <w:rPr>
          <w:rFonts w:ascii="Times New Roman" w:hAnsi="Times New Roman" w:cs="Times New Roman"/>
          <w:sz w:val="21"/>
          <w:szCs w:val="21"/>
          <w:lang w:val="en-US"/>
        </w:rPr>
        <w:t>Arnold networks (KANs)</w:t>
      </w:r>
      <w:r>
        <w:rPr>
          <w:rFonts w:ascii="Times New Roman" w:hAnsi="Times New Roman" w:cs="Times New Roman"/>
          <w:sz w:val="21"/>
          <w:szCs w:val="21"/>
          <w:vertAlign w:val="superscript"/>
          <w:lang w:val="en-US"/>
        </w:rPr>
        <w:t>1-6</w:t>
      </w:r>
      <w:r>
        <w:rPr>
          <w:rFonts w:ascii="Times New Roman" w:hAnsi="Times New Roman" w:cs="Times New Roman"/>
          <w:sz w:val="21"/>
          <w:szCs w:val="21"/>
          <w:lang w:val="en-US"/>
        </w:rPr>
        <w:t>. This progress has been enabled by large datasets and increasingly specialized digital hardware, but it has also exposed a limit of the usual scaling story. Larger models can be more capable, yet they also intensify energy use, data movement, latency, memory pressure and the difficulty of explaining or constraining predictions</w:t>
      </w:r>
      <w:r>
        <w:rPr>
          <w:rFonts w:ascii="Times New Roman" w:hAnsi="Times New Roman" w:cs="Times New Roman"/>
          <w:sz w:val="21"/>
          <w:szCs w:val="21"/>
          <w:vertAlign w:val="superscript"/>
          <w:lang w:val="en-US"/>
        </w:rPr>
        <w:t>7-8</w:t>
      </w:r>
      <w:r>
        <w:rPr>
          <w:rFonts w:ascii="Times New Roman" w:hAnsi="Times New Roman" w:cs="Times New Roman"/>
          <w:sz w:val="21"/>
          <w:szCs w:val="21"/>
          <w:lang w:val="en-US"/>
        </w:rPr>
        <w:t>.</w:t>
      </w:r>
    </w:p>
    <w:p w14:paraId="1F35FAC4"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These pressures are not merely engineering details. They reveal that the physical medium and the physical meaning of a model can no longer be treated as secondary. Digital computation offers programmability and precision, but physical systems compute under finite precision, thermal noise, dissipation, measurement limits and device-to-device variability. Likewise, a data-driven model used in fluid mechanics, climate, materials or biology is not trustworthy simply because it fits observations. It must also respect equations, symmetries, boundary conditions and conservation laws when those structures are known</w:t>
      </w:r>
      <w:r>
        <w:rPr>
          <w:rFonts w:ascii="Times New Roman" w:hAnsi="Times New Roman" w:cs="Times New Roman"/>
          <w:sz w:val="21"/>
          <w:szCs w:val="21"/>
          <w:vertAlign w:val="superscript"/>
          <w:lang w:val="en-US"/>
        </w:rPr>
        <w:t>9-10</w:t>
      </w:r>
      <w:r>
        <w:rPr>
          <w:rFonts w:ascii="Times New Roman" w:hAnsi="Times New Roman" w:cs="Times New Roman"/>
          <w:sz w:val="21"/>
          <w:szCs w:val="21"/>
          <w:lang w:val="en-US"/>
        </w:rPr>
        <w:t>.</w:t>
      </w:r>
    </w:p>
    <w:p w14:paraId="74E1F097" w14:textId="62DAF50E"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We therefore focus on two emerging routes. The first is physical </w:t>
      </w:r>
      <w:r>
        <w:rPr>
          <w:rFonts w:ascii="Times New Roman" w:hAnsi="Times New Roman" w:cs="Times New Roman"/>
          <w:sz w:val="21"/>
          <w:szCs w:val="21"/>
          <w:lang w:val="en-US"/>
        </w:rPr>
        <w:t>implementation</w:t>
      </w:r>
      <w:r>
        <w:rPr>
          <w:rFonts w:ascii="Times New Roman" w:hAnsi="Times New Roman" w:cs="Times New Roman"/>
          <w:sz w:val="21"/>
          <w:szCs w:val="21"/>
          <w:lang w:val="en-US"/>
        </w:rPr>
        <w:t>: neural computation is performed by a material or dynamical substrate, including optical</w:t>
      </w:r>
      <w:r>
        <w:rPr>
          <w:rFonts w:ascii="Times New Roman" w:hAnsi="Times New Roman" w:cs="Times New Roman"/>
          <w:sz w:val="21"/>
          <w:szCs w:val="21"/>
          <w:vertAlign w:val="superscript"/>
          <w:lang w:val="en-US"/>
        </w:rPr>
        <w:t>11-</w:t>
      </w:r>
      <w:r>
        <w:rPr>
          <w:rFonts w:ascii="Times New Roman" w:hAnsi="Times New Roman" w:cs="Times New Roman"/>
          <w:sz w:val="21"/>
          <w:szCs w:val="21"/>
          <w:vertAlign w:val="superscript"/>
          <w:lang w:val="en-US"/>
        </w:rPr>
        <w:t>19</w:t>
      </w:r>
      <w:r>
        <w:rPr>
          <w:rFonts w:ascii="Times New Roman" w:hAnsi="Times New Roman" w:cs="Times New Roman"/>
          <w:sz w:val="21"/>
          <w:szCs w:val="21"/>
          <w:lang w:val="en-US"/>
        </w:rPr>
        <w:t>, quantum</w:t>
      </w:r>
      <w:r>
        <w:rPr>
          <w:rFonts w:ascii="Times New Roman" w:hAnsi="Times New Roman" w:cs="Times New Roman"/>
          <w:sz w:val="21"/>
          <w:szCs w:val="21"/>
          <w:vertAlign w:val="superscript"/>
          <w:lang w:val="en-US"/>
        </w:rPr>
        <w:t>20-26</w:t>
      </w:r>
      <w:r>
        <w:rPr>
          <w:rFonts w:ascii="Times New Roman" w:hAnsi="Times New Roman" w:cs="Times New Roman"/>
          <w:sz w:val="21"/>
          <w:szCs w:val="21"/>
          <w:lang w:val="en-US"/>
        </w:rPr>
        <w:t>, memristive</w:t>
      </w:r>
      <w:r>
        <w:rPr>
          <w:rFonts w:ascii="Times New Roman" w:hAnsi="Times New Roman" w:cs="Times New Roman"/>
          <w:sz w:val="21"/>
          <w:szCs w:val="21"/>
          <w:vertAlign w:val="superscript"/>
          <w:lang w:val="en-US"/>
        </w:rPr>
        <w:t>27-34</w:t>
      </w:r>
      <w:r>
        <w:rPr>
          <w:rFonts w:ascii="Times New Roman" w:hAnsi="Times New Roman" w:cs="Times New Roman"/>
          <w:sz w:val="21"/>
          <w:szCs w:val="21"/>
          <w:lang w:val="en-US"/>
        </w:rPr>
        <w:t xml:space="preserve"> and biomolecular</w:t>
      </w:r>
      <w:r>
        <w:rPr>
          <w:rFonts w:ascii="Times New Roman" w:hAnsi="Times New Roman" w:cs="Times New Roman"/>
          <w:sz w:val="21"/>
          <w:szCs w:val="21"/>
          <w:vertAlign w:val="superscript"/>
          <w:lang w:val="en-US"/>
        </w:rPr>
        <w:t>35-41</w:t>
      </w:r>
      <w:r>
        <w:rPr>
          <w:rFonts w:ascii="Times New Roman" w:hAnsi="Times New Roman" w:cs="Times New Roman"/>
          <w:sz w:val="21"/>
          <w:szCs w:val="21"/>
          <w:lang w:val="en-US"/>
        </w:rPr>
        <w:t xml:space="preserve"> systems. The second is physics integration: neural models are constrained by scientific laws through physics-informed losses, hard constraints, neural differential equations, neural operators and related architectures</w:t>
      </w:r>
      <w:r>
        <w:rPr>
          <w:rFonts w:ascii="Times New Roman" w:hAnsi="Times New Roman" w:cs="Times New Roman"/>
          <w:sz w:val="21"/>
          <w:szCs w:val="21"/>
          <w:vertAlign w:val="superscript"/>
          <w:lang w:val="en-US"/>
        </w:rPr>
        <w:t>42-59</w:t>
      </w:r>
      <w:r>
        <w:rPr>
          <w:rFonts w:ascii="Times New Roman" w:hAnsi="Times New Roman" w:cs="Times New Roman"/>
          <w:sz w:val="21"/>
          <w:szCs w:val="21"/>
          <w:lang w:val="en-US"/>
        </w:rPr>
        <w:t xml:space="preserve">. These routes solve different problems. Physical </w:t>
      </w:r>
      <w:r>
        <w:rPr>
          <w:rFonts w:ascii="Times New Roman" w:hAnsi="Times New Roman" w:cs="Times New Roman"/>
          <w:sz w:val="21"/>
          <w:szCs w:val="21"/>
          <w:lang w:val="en-US"/>
        </w:rPr>
        <w:t>neural networks</w:t>
      </w:r>
      <w:r>
        <w:rPr>
          <w:rFonts w:ascii="Times New Roman" w:hAnsi="Times New Roman" w:cs="Times New Roman"/>
          <w:sz w:val="21"/>
          <w:szCs w:val="21"/>
          <w:lang w:val="en-US"/>
        </w:rPr>
        <w:t xml:space="preserve"> primarily address hardware and energy bottlenecks. Physics-integrated models primarily address data efficiency, interpretability and scientific reliability. Their convergence is the central opportunity: future neural systems may be trained with explicit knowledge of both the target physics and the non-ideal physics of the hardware that executes the </w:t>
      </w:r>
      <w:r>
        <w:rPr>
          <w:rFonts w:ascii="Times New Roman" w:hAnsi="Times New Roman" w:cs="Times New Roman"/>
          <w:sz w:val="21"/>
          <w:szCs w:val="21"/>
          <w:lang w:val="en-US"/>
        </w:rPr>
        <w:lastRenderedPageBreak/>
        <w:t>computation.</w:t>
      </w:r>
    </w:p>
    <w:p w14:paraId="1AD7C453" w14:textId="23E0FC86" w:rsidR="00F256B4" w:rsidRDefault="00956E03">
      <w:pPr>
        <w:spacing w:after="120"/>
        <w:jc w:val="both"/>
        <w:rPr>
          <w:rFonts w:ascii="Times New Roman" w:hAnsi="Times New Roman" w:cs="Times New Roman"/>
          <w:sz w:val="21"/>
          <w:szCs w:val="21"/>
          <w:lang w:val="en-US"/>
        </w:rPr>
      </w:pPr>
      <w:r w:rsidRPr="00956E03">
        <w:rPr>
          <w:rFonts w:ascii="Times New Roman" w:hAnsi="Times New Roman" w:cs="Times New Roman"/>
          <w:sz w:val="21"/>
          <w:szCs w:val="21"/>
          <w:lang w:val="en-US"/>
        </w:rPr>
        <w:t>We should state</w:t>
      </w:r>
      <w:r w:rsidR="00000000">
        <w:rPr>
          <w:rFonts w:ascii="Times New Roman" w:hAnsi="Times New Roman" w:cs="Times New Roman"/>
          <w:sz w:val="21"/>
          <w:szCs w:val="21"/>
          <w:lang w:val="en-US"/>
        </w:rPr>
        <w:t xml:space="preserve"> what </w:t>
      </w:r>
      <w:r w:rsidR="00000000">
        <w:rPr>
          <w:rFonts w:ascii="Times New Roman" w:hAnsi="Times New Roman" w:cs="Times New Roman"/>
          <w:sz w:val="21"/>
          <w:szCs w:val="21"/>
          <w:lang w:val="en-US"/>
        </w:rPr>
        <w:t>would qualify a system as physically grounded</w:t>
      </w:r>
      <w:r w:rsidR="00296F51">
        <w:rPr>
          <w:rStyle w:val="af2"/>
          <w:rFonts w:ascii="Times New Roman" w:hAnsi="Times New Roman" w:cs="Times New Roman"/>
          <w:sz w:val="21"/>
          <w:szCs w:val="21"/>
          <w:lang w:val="en-US"/>
        </w:rPr>
      </w:r>
      <w:r w:rsidR="00000000">
        <w:rPr>
          <w:rFonts w:ascii="Times New Roman" w:hAnsi="Times New Roman" w:cs="Times New Roman"/>
          <w:sz w:val="21"/>
          <w:szCs w:val="21"/>
          <w:lang w:val="en-US"/>
        </w:rPr>
        <w:t xml:space="preserve">, since the term is otherwise only a label for this pairing. Two conditions are required together: the forward map must be realized by a physical process whose non-idealities are </w:t>
      </w:r>
      <w:r w:rsidR="007B320B" w:rsidRPr="007B320B">
        <w:rPr>
          <w:rFonts w:ascii="Times New Roman" w:hAnsi="Times New Roman" w:cs="Times New Roman"/>
          <w:sz w:val="21"/>
          <w:szCs w:val="21"/>
          <w:lang w:val="en-US"/>
        </w:rPr>
        <w:t>accounted for, explicitly through a model or implicitly through hardware-in-the-loop</w:t>
      </w:r>
      <w:r w:rsidR="00000000">
        <w:rPr>
          <w:rFonts w:ascii="Times New Roman" w:hAnsi="Times New Roman" w:cs="Times New Roman"/>
          <w:sz w:val="21"/>
          <w:szCs w:val="21"/>
          <w:lang w:val="en-US"/>
        </w:rPr>
        <w:t xml:space="preserve"> training or calibration, and the learned model must be restricted by the physical laws governing the target domain. Both conditions are necessary and neither alone is sufficient, so each condition on its own names an existing field rather than this one. A physical neural network satisfies the first and is silent about the second; physics-informed machine learning satisfies the second and is silent about the first, since it is normally executed on digital hardware whose own physics is deliberately hidden. Neuromorphic computing is a commitment to a computational style borrowed from neurobiology, with event-driven activity and co-located memory and computation, which may or may not exploit substrate physics for the mathematical operation and makes no claim about target-domain laws. </w:t>
      </w:r>
      <w:r w:rsidR="00000000">
        <w:rPr>
          <w:rFonts w:ascii="Times New Roman" w:hAnsi="Times New Roman" w:cs="Times New Roman"/>
          <w:sz w:val="21"/>
          <w:szCs w:val="21"/>
          <w:lang w:val="en-US"/>
        </w:rPr>
        <w:t>Physical AI is broader still and is usually a statement about where a system is deployed rather than about where physics enters the model.</w:t>
      </w:r>
      <w:r w:rsidR="00000000">
        <w:rPr>
          <w:rStyle w:val="af2"/>
          <w:rFonts w:ascii="Times New Roman" w:hAnsi="Times New Roman" w:cs="Times New Roman"/>
          <w:sz w:val="21"/>
          <w:szCs w:val="21"/>
          <w:lang w:val="en-US"/>
        </w:rPr>
      </w:r>
      <w:r w:rsidR="00000000">
        <w:rPr>
          <w:rFonts w:ascii="Times New Roman" w:hAnsi="Times New Roman" w:cs="Times New Roman"/>
          <w:sz w:val="21"/>
          <w:szCs w:val="21"/>
          <w:lang w:val="en-US"/>
        </w:rPr>
        <w:t xml:space="preserve"> Physically grounded neural networks are, on this reading, the intersection of the first two conditions rather than a further field, and the interest of the term lies in how sparsely that intersection is currently populated, which we return to in Sec. V. For clarity we use one term for each of these throughout: physical substrate for the medium, physical neural network for a system whose forward map is executed by that medium, physics-integrated learning for a model restricted by the laws of its target domain, and physically grounded neural network for a system that satisfies both conditions.</w:t>
      </w:r>
    </w:p>
    <w:p w14:paraId="6293542E" w14:textId="0D115611"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Placing the two literatures side by side yields one claim that neither makes on its own: the two conditions impose a </w:t>
      </w:r>
      <w:r>
        <w:rPr>
          <w:rFonts w:ascii="Times New Roman" w:hAnsi="Times New Roman" w:cs="Times New Roman"/>
          <w:sz w:val="21"/>
          <w:szCs w:val="21"/>
          <w:lang w:val="en-US"/>
        </w:rPr>
        <w:t>compatibility requirement on each other</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rather than adding. Substrate error may break an invariant that an architecture was designed to preserve, and a target-domain law may exclude functions that the substrate represents easily. Whether the two conditions actually trade off, and by how much, has to be established for the specific system rather than asserted in general. Section V examines the two demonstrations </w:t>
      </w:r>
      <w:r w:rsidR="007B320B" w:rsidRPr="007B320B">
        <w:rPr>
          <w:rFonts w:ascii="Times New Roman" w:hAnsi="Times New Roman" w:cs="Times New Roman"/>
          <w:sz w:val="21"/>
          <w:szCs w:val="21"/>
          <w:lang w:val="en-US"/>
        </w:rPr>
        <w:t>that come closest to imposing</w:t>
      </w:r>
      <w:r>
        <w:rPr>
          <w:rFonts w:ascii="Times New Roman" w:hAnsi="Times New Roman" w:cs="Times New Roman"/>
          <w:sz w:val="21"/>
          <w:szCs w:val="21"/>
          <w:lang w:val="en-US"/>
        </w:rPr>
        <w:t xml:space="preserve"> both conditions on one neural network, and in each of them the substrate decides how much of the target-domain law can be enforced, so the requirement is a measured constraint rather than a conjecture. Two consequences follow</w:t>
      </w:r>
      <w:r>
        <w:rPr>
          <w:rFonts w:ascii="Times New Roman" w:hAnsi="Times New Roman" w:cs="Times New Roman"/>
          <w:sz w:val="21"/>
          <w:szCs w:val="21"/>
          <w:lang w:val="en-US"/>
        </w:rPr>
        <w:t>: the cost of the differentiable twin belongs inside any efficiency claim, and the correct test of convergence is whether both conditions hold within one training loop. Figure 1 places the two routes on a common timeline and marks the point at which they converge.</w:t>
      </w:r>
    </w:p>
    <w:p w14:paraId="4911531C" w14:textId="77777777" w:rsidR="00F256B4" w:rsidRDefault="00000000">
      <w:pPr>
        <w:jc w:val="both"/>
        <w:rPr>
          <w:rFonts w:ascii="Times New Roman" w:hAnsi="Times New Roman" w:cs="Times New Roman"/>
          <w:sz w:val="21"/>
          <w:szCs w:val="21"/>
          <w:lang w:val="en-US"/>
        </w:rPr>
      </w:pPr>
      <w:r>
        <w:rPr>
          <w:rFonts w:ascii="Times New Roman" w:hAnsi="Times New Roman" w:cs="Times New Roman" w:hint="eastAsia"/>
          <w:noProof/>
          <w:sz w:val="21"/>
          <w:szCs w:val="21"/>
          <w:lang w:val="en-US"/>
        </w:rPr>
        <w:drawing>
          <wp:inline distT="0" distB="0" distL="114300" distR="114300" wp14:anchorId="026BE332" wp14:editId="7FF79A53">
            <wp:extent cx="5937250" cy="2742565"/>
            <wp:effectExtent l="0" t="0" r="6350" b="0"/>
            <wp:docPr id="4" name="图片 4" descr="Timeline diagram of neural-network research branching into two routes, physical substrates and physics-integrated learning, drawn as converging into physically grounded neural networks. The convergence shown is proposed rather than demonst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imeline diagram of neural-network research branching into two routes, physical substrates and physics-integrated learning, drawn as converging into physically grounded neural networks. The convergence shown is proposed rather than demonstrated."/>
                    <pic:cNvPicPr>
                      <a:picLocks noChangeAspect="1"/>
                    </pic:cNvPicPr>
                  </pic:nvPicPr>
                  <pic:blipFill>
                    <a:blip r:embed="rId11"/>
                    <a:stretch>
                      <a:fillRect/>
                    </a:stretch>
                  </pic:blipFill>
                  <pic:spPr>
                    <a:xfrm>
                      <a:off x="0" y="0"/>
                      <a:ext cx="5937250" cy="2742673"/>
                    </a:xfrm>
                    <a:prstGeom prst="rect">
                      <a:avLst/>
                    </a:prstGeom>
                  </pic:spPr>
                </pic:pic>
              </a:graphicData>
            </a:graphic>
          </wp:inline>
        </w:drawing>
      </w:r>
    </w:p>
    <w:p w14:paraId="38AE3050" w14:textId="649EFA15"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FIG. 1. From digital scaling to physically grounded neural computation.</w:t>
      </w:r>
      <w:r>
        <w:rPr>
          <w:rStyle w:val="af2"/>
          <w:rFonts w:ascii="Times New Roman" w:hAnsi="Times New Roman" w:cs="Times New Roman"/>
          <w:color w:val="000000" w:themeColor="text1"/>
          <w:sz w:val="20"/>
          <w:szCs w:val="20"/>
          <w:lang w:val="en-US"/>
        </w:rPr>
      </w:r>
      <w:r>
        <w:rPr>
          <w:rFonts w:ascii="Times New Roman" w:hAnsi="Times New Roman" w:cs="Times New Roman"/>
          <w:color w:val="000000" w:themeColor="text1"/>
          <w:sz w:val="20"/>
          <w:szCs w:val="20"/>
          <w:lang w:val="en-US"/>
        </w:rPr>
        <w:t xml:space="preserve"> Neural-network research has progressed from early trainable models (perceptron, backpropagation) through deep learning, attention, neural operators and recent state-space or </w:t>
      </w:r>
      <w:r>
        <w:rPr>
          <w:rFonts w:ascii="Times New Roman" w:hAnsi="Times New Roman" w:cs="Times New Roman"/>
          <w:color w:val="000000" w:themeColor="text1"/>
          <w:sz w:val="20"/>
          <w:szCs w:val="20"/>
          <w:lang w:val="en-US"/>
        </w:rPr>
        <w:t>Kolmogorov–Arnold network (</w:t>
      </w:r>
      <w:r>
        <w:rPr>
          <w:rFonts w:ascii="Times New Roman" w:hAnsi="Times New Roman" w:cs="Times New Roman"/>
          <w:color w:val="000000" w:themeColor="text1"/>
          <w:sz w:val="20"/>
          <w:szCs w:val="20"/>
          <w:lang w:val="en-US"/>
        </w:rPr>
        <w:t>KAN</w:t>
      </w:r>
      <w:r>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architectures. Driven by hardware and energy bottlenecks on one side and demands for data efficiency, interpretability and reliability on the other, future progress is likely to </w:t>
      </w:r>
      <w:r>
        <w:rPr>
          <w:rFonts w:ascii="Times New Roman" w:hAnsi="Times New Roman" w:cs="Times New Roman"/>
          <w:color w:val="000000" w:themeColor="text1"/>
          <w:sz w:val="20"/>
          <w:szCs w:val="20"/>
          <w:lang w:val="en-US"/>
        </w:rPr>
        <w:t>bifurcate</w:t>
      </w:r>
      <w:r w:rsidR="00296F51">
        <w:rPr>
          <w:rStyle w:val="af2"/>
          <w:rFonts w:ascii="Times New Roman" w:hAnsi="Times New Roman" w:cs="Times New Roman"/>
          <w:color w:val="000000" w:themeColor="text1"/>
          <w:sz w:val="20"/>
          <w:szCs w:val="20"/>
          <w:lang w:val="en-US"/>
        </w:rPr>
      </w:r>
      <w:r>
        <w:rPr>
          <w:rFonts w:ascii="Times New Roman" w:hAnsi="Times New Roman" w:cs="Times New Roman"/>
          <w:color w:val="000000" w:themeColor="text1"/>
          <w:sz w:val="20"/>
          <w:szCs w:val="20"/>
          <w:lang w:val="en-US"/>
        </w:rPr>
        <w:t xml:space="preserve"> into physical substrates and physics-integrated learning</w:t>
      </w:r>
      <w:r>
        <w:rPr>
          <w:rFonts w:ascii="Times New Roman" w:hAnsi="Times New Roman" w:cs="Times New Roman"/>
          <w:color w:val="000000" w:themeColor="text1"/>
          <w:sz w:val="20"/>
          <w:szCs w:val="20"/>
          <w:lang w:val="en-US"/>
        </w:rPr>
        <w:t xml:space="preserve">. The two routes are at present largely distinct, and the convergence drawn at the right of the figure is proposed rather than established: it requires substrate non-idealities </w:t>
      </w:r>
      <w:r>
        <w:rPr>
          <w:rFonts w:ascii="Times New Roman" w:hAnsi="Times New Roman" w:cs="Times New Roman"/>
          <w:color w:val="000000" w:themeColor="text1"/>
          <w:sz w:val="20"/>
          <w:szCs w:val="20"/>
          <w:lang w:val="en-US"/>
        </w:rPr>
        <w:lastRenderedPageBreak/>
        <w:t>and target-domain laws to be handled within one training loop</w:t>
      </w:r>
      <w:r>
        <w:rPr>
          <w:rFonts w:ascii="Times New Roman" w:hAnsi="Times New Roman" w:cs="Times New Roman"/>
          <w:color w:val="000000" w:themeColor="text1"/>
          <w:sz w:val="20"/>
          <w:szCs w:val="20"/>
          <w:lang w:val="en-US"/>
        </w:rPr>
        <w:t>.</w:t>
      </w:r>
      <w:r w:rsidR="00956E03">
        <w:rPr>
          <w:rFonts w:ascii="Times New Roman" w:hAnsi="Times New Roman" w:cs="Times New Roman"/>
          <w:color w:val="000000" w:themeColor="text1"/>
          <w:sz w:val="20"/>
          <w:szCs w:val="20"/>
          <w:lang w:val="en-US"/>
        </w:rPr>
        <w:t xml:space="preserve"> Abbreviations appearing inside the figure: P/BP, perceptron and backpropagation; DL, deep learning; ATT, attention; NO, neural operator; SSM, state-space model; CNN, convolutional neural network; FNO, Fourier neural operator; DeepONet, deep operator network; PINN, physics-informed neural network; ODE, ordinary differential equation.</w:t>
      </w:r>
    </w:p>
    <w:p w14:paraId="0D80506C" w14:textId="77777777" w:rsidR="00F256B4" w:rsidRDefault="00000000">
      <w:pPr>
        <w:pStyle w:val="2"/>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II. ALGORITHMIC SCALING AND ITS LIMITS</w:t>
      </w:r>
    </w:p>
    <w:p w14:paraId="0E99ED2B" w14:textId="3005C409"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modern neural network stack rests on a compact set of ideas: trainable nonlinear transformations, compositional depth, differentiable optimization and inductive biases matched to data structure</w:t>
      </w:r>
      <w:r>
        <w:rPr>
          <w:rFonts w:ascii="Times New Roman" w:hAnsi="Times New Roman" w:cs="Times New Roman"/>
          <w:sz w:val="21"/>
          <w:szCs w:val="21"/>
          <w:vertAlign w:val="superscript"/>
          <w:lang w:val="en-US"/>
        </w:rPr>
        <w:t>1-6</w:t>
      </w:r>
      <w:r>
        <w:rPr>
          <w:rFonts w:ascii="Times New Roman" w:hAnsi="Times New Roman" w:cs="Times New Roman"/>
          <w:sz w:val="21"/>
          <w:szCs w:val="21"/>
          <w:lang w:val="en-US"/>
        </w:rPr>
        <w:t>. Convolutions exploit local spatial structure, recurrent and state-space models exploit sequential dynamics, attention models learn data-dependent interactions, generative models approximate high-dimensional distributions, and world models support planning in learned environments</w:t>
      </w:r>
      <w:r>
        <w:rPr>
          <w:rFonts w:ascii="Times New Roman" w:hAnsi="Times New Roman" w:cs="Times New Roman"/>
          <w:sz w:val="21"/>
          <w:szCs w:val="21"/>
          <w:vertAlign w:val="superscript"/>
          <w:lang w:val="en-US"/>
        </w:rPr>
        <w:t>4-5,</w:t>
      </w:r>
      <w:r>
        <w:rPr>
          <w:rFonts w:ascii="Times New Roman" w:hAnsi="Times New Roman" w:cs="Times New Roman"/>
          <w:sz w:val="21"/>
          <w:szCs w:val="21"/>
          <w:vertAlign w:val="superscript"/>
          <w:lang w:val="en-US"/>
        </w:rPr>
        <w:t>60-66</w:t>
      </w:r>
      <w:r>
        <w:rPr>
          <w:rFonts w:ascii="Times New Roman" w:hAnsi="Times New Roman" w:cs="Times New Roman"/>
          <w:sz w:val="21"/>
          <w:szCs w:val="21"/>
          <w:lang w:val="en-US"/>
        </w:rPr>
        <w:t xml:space="preserve">. These architectures remain essential background, but a review of every task-specific design would obscure the main point. The </w:t>
      </w:r>
      <w:r>
        <w:rPr>
          <w:rFonts w:ascii="Times New Roman" w:hAnsi="Times New Roman" w:cs="Times New Roman"/>
          <w:sz w:val="21"/>
          <w:szCs w:val="21"/>
          <w:lang w:val="en-US"/>
        </w:rPr>
        <w:t>issue is that algorithmic innovation has created demands that conventional digital scaling alone cannot satisfy.</w:t>
      </w:r>
    </w:p>
    <w:p w14:paraId="422C4B5C"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first demand is energy-efficient computation. Neural workloads are dominated by repeated linear algebra and by data movement between memory and compute units. Even when arithmetic becomes efficient, memory access, peripheral control and communication can dominate system cost</w:t>
      </w:r>
      <w:r>
        <w:rPr>
          <w:rFonts w:ascii="Times New Roman" w:hAnsi="Times New Roman" w:cs="Times New Roman"/>
          <w:sz w:val="21"/>
          <w:szCs w:val="21"/>
          <w:vertAlign w:val="superscript"/>
          <w:lang w:val="en-US"/>
        </w:rPr>
        <w:t>7-8</w:t>
      </w:r>
      <w:r>
        <w:rPr>
          <w:rFonts w:ascii="Times New Roman" w:hAnsi="Times New Roman" w:cs="Times New Roman"/>
          <w:sz w:val="21"/>
          <w:szCs w:val="21"/>
          <w:lang w:val="en-US"/>
        </w:rPr>
        <w:t>. Physical neural networks try to reduce this burden by using wave propagation, diffraction and interference in optical systems</w:t>
      </w:r>
      <w:r>
        <w:rPr>
          <w:rFonts w:ascii="Times New Roman" w:hAnsi="Times New Roman" w:cs="Times New Roman"/>
          <w:sz w:val="21"/>
          <w:szCs w:val="21"/>
          <w:vertAlign w:val="superscript"/>
          <w:lang w:val="en-US"/>
        </w:rPr>
        <w:t>11-19</w:t>
      </w:r>
      <w:r>
        <w:rPr>
          <w:rFonts w:ascii="Times New Roman" w:hAnsi="Times New Roman" w:cs="Times New Roman"/>
          <w:sz w:val="21"/>
          <w:szCs w:val="21"/>
          <w:lang w:val="en-US"/>
        </w:rPr>
        <w:t>, quantum-state evolution and measurement in quantum models</w:t>
      </w:r>
      <w:r>
        <w:rPr>
          <w:rFonts w:ascii="Times New Roman" w:hAnsi="Times New Roman" w:cs="Times New Roman"/>
          <w:sz w:val="21"/>
          <w:szCs w:val="21"/>
          <w:vertAlign w:val="superscript"/>
          <w:lang w:val="en-US"/>
        </w:rPr>
        <w:t>20-26</w:t>
      </w:r>
      <w:r>
        <w:rPr>
          <w:rFonts w:ascii="Times New Roman" w:hAnsi="Times New Roman" w:cs="Times New Roman"/>
          <w:sz w:val="21"/>
          <w:szCs w:val="21"/>
          <w:lang w:val="en-US"/>
        </w:rPr>
        <w:t>, analog conductance in memristive arrays</w:t>
      </w:r>
      <w:r>
        <w:rPr>
          <w:rFonts w:ascii="Times New Roman" w:hAnsi="Times New Roman" w:cs="Times New Roman"/>
          <w:sz w:val="21"/>
          <w:szCs w:val="21"/>
          <w:vertAlign w:val="superscript"/>
          <w:lang w:val="en-US"/>
        </w:rPr>
        <w:t>27-34</w:t>
      </w:r>
      <w:r>
        <w:rPr>
          <w:rFonts w:ascii="Times New Roman" w:hAnsi="Times New Roman" w:cs="Times New Roman"/>
          <w:sz w:val="21"/>
          <w:szCs w:val="21"/>
          <w:lang w:val="en-US"/>
        </w:rPr>
        <w:t>, or molecular reaction networks in biomolecular systems</w:t>
      </w:r>
      <w:r>
        <w:rPr>
          <w:rFonts w:ascii="Times New Roman" w:hAnsi="Times New Roman" w:cs="Times New Roman"/>
          <w:sz w:val="21"/>
          <w:szCs w:val="21"/>
          <w:vertAlign w:val="superscript"/>
          <w:lang w:val="en-US"/>
        </w:rPr>
        <w:t>35-41</w:t>
      </w:r>
      <w:r>
        <w:rPr>
          <w:rFonts w:ascii="Times New Roman" w:hAnsi="Times New Roman" w:cs="Times New Roman"/>
          <w:sz w:val="21"/>
          <w:szCs w:val="21"/>
          <w:lang w:val="en-US"/>
        </w:rPr>
        <w:t xml:space="preserve"> as part of the computation itself.</w:t>
      </w:r>
    </w:p>
    <w:p w14:paraId="3853DFDD"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second demand is scalable training and inference beyond idealized device operations. A physical system may perform a transformation rapidly, but useful neural computation also requires encoding, programming, nonlinearity, readout, calibration, error mitigation and training. Recent reviews of physical neural networks emphasize that the training problem is now as important as the substrate problem: backpropagation-compatible, feedback-alignment, equilibrium-propagation, perturbative, digital-twin and physics-aware training methods all trade off scalability, accuracy and hardware realism</w:t>
      </w:r>
      <w:r>
        <w:rPr>
          <w:rFonts w:ascii="Times New Roman" w:hAnsi="Times New Roman" w:cs="Times New Roman"/>
          <w:sz w:val="21"/>
          <w:szCs w:val="21"/>
          <w:vertAlign w:val="superscript"/>
          <w:lang w:val="en-US"/>
        </w:rPr>
        <w:t>14,16</w:t>
      </w:r>
      <w:r>
        <w:rPr>
          <w:rFonts w:ascii="Times New Roman" w:hAnsi="Times New Roman" w:cs="Times New Roman"/>
          <w:sz w:val="21"/>
          <w:szCs w:val="21"/>
          <w:lang w:val="en-US"/>
        </w:rPr>
        <w:t>.</w:t>
      </w:r>
    </w:p>
    <w:p w14:paraId="04BFFA27" w14:textId="4EF824F6"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This training requirement carries an energy cost of its own. Schemes that rely on a differentiable twin of the substrate must fit that twin against the underlying field or transport equations, and the cost of a single solve grows steeply with the spatial resolution needed for a faithful model, while fitting requires many such solves rather than one</w:t>
      </w:r>
      <w:r>
        <w:rPr>
          <w:rFonts w:ascii="Times New Roman" w:hAnsi="Times New Roman" w:cs="Times New Roman"/>
          <w:sz w:val="21"/>
          <w:szCs w:val="21"/>
          <w:vertAlign w:val="superscript"/>
          <w:lang w:val="en-US"/>
        </w:rPr>
        <w:t>16</w:t>
      </w:r>
      <w:r>
        <w:rPr>
          <w:rFonts w:ascii="Times New Roman" w:hAnsi="Times New Roman" w:cs="Times New Roman"/>
          <w:sz w:val="21"/>
          <w:szCs w:val="21"/>
          <w:lang w:val="en-US"/>
        </w:rPr>
        <w:t xml:space="preserve">. The resulting one-off cost </w:t>
      </w:r>
      <w:r w:rsidR="00956E03">
        <w:rPr>
          <w:rFonts w:ascii="Times New Roman" w:hAnsi="Times New Roman" w:cs="Times New Roman"/>
          <w:sz w:val="21"/>
          <w:szCs w:val="21"/>
          <w:lang w:val="en-US"/>
        </w:rPr>
        <w:t>E</w:t>
      </w:r>
      <w:r w:rsidR="00956E03" w:rsidRPr="00956E03">
        <w:rPr>
          <w:rFonts w:ascii="Times New Roman" w:hAnsi="Times New Roman" w:cs="Times New Roman"/>
          <w:sz w:val="21"/>
          <w:szCs w:val="21"/>
          <w:vertAlign w:val="subscript"/>
          <w:lang w:val="en-US"/>
        </w:rPr>
        <w:t>twin</w:t>
      </w:r>
      <w:r>
        <w:rPr>
          <w:rFonts w:ascii="Times New Roman" w:hAnsi="Times New Roman" w:cs="Times New Roman"/>
          <w:sz w:val="21"/>
          <w:szCs w:val="21"/>
          <w:lang w:val="en-US"/>
        </w:rPr>
        <w:t xml:space="preserve"> has to be recovered from the per-inference saving ΔE = </w:t>
      </w:r>
      <w:r w:rsidR="00956E03">
        <w:rPr>
          <w:rFonts w:ascii="Times New Roman" w:hAnsi="Times New Roman" w:cs="Times New Roman"/>
          <w:sz w:val="21"/>
          <w:szCs w:val="21"/>
          <w:lang w:val="en-US"/>
        </w:rPr>
        <w:t>E</w:t>
      </w:r>
      <w:r w:rsidR="00956E03" w:rsidRPr="00956E03">
        <w:rPr>
          <w:rFonts w:ascii="Times New Roman" w:hAnsi="Times New Roman" w:cs="Times New Roman"/>
          <w:sz w:val="21"/>
          <w:szCs w:val="21"/>
          <w:vertAlign w:val="subscript"/>
          <w:lang w:val="en-US"/>
        </w:rPr>
        <w:t>digital</w:t>
      </w:r>
      <w:r>
        <w:rPr>
          <w:rFonts w:ascii="Times New Roman" w:hAnsi="Times New Roman" w:cs="Times New Roman"/>
          <w:sz w:val="21"/>
          <w:szCs w:val="21"/>
          <w:lang w:val="en-US"/>
        </w:rPr>
        <w:t xml:space="preserve"> − </w:t>
      </w:r>
      <w:r w:rsidR="00956E03">
        <w:rPr>
          <w:rFonts w:ascii="Times New Roman" w:hAnsi="Times New Roman" w:cs="Times New Roman"/>
          <w:sz w:val="21"/>
          <w:szCs w:val="21"/>
          <w:lang w:val="en-US"/>
        </w:rPr>
        <w:t>E</w:t>
      </w:r>
      <w:r w:rsidR="00956E03" w:rsidRPr="00956E03">
        <w:rPr>
          <w:rFonts w:ascii="Times New Roman" w:hAnsi="Times New Roman" w:cs="Times New Roman"/>
          <w:sz w:val="21"/>
          <w:szCs w:val="21"/>
          <w:vertAlign w:val="subscript"/>
          <w:lang w:val="en-US"/>
        </w:rPr>
        <w:t>physical</w:t>
      </w:r>
      <w:r>
        <w:rPr>
          <w:rFonts w:ascii="Times New Roman" w:hAnsi="Times New Roman" w:cs="Times New Roman"/>
          <w:sz w:val="21"/>
          <w:szCs w:val="21"/>
          <w:lang w:val="en-US"/>
        </w:rPr>
        <w:t xml:space="preserve">, so a physical implementation becomes </w:t>
      </w:r>
      <w:r>
        <w:rPr>
          <w:rFonts w:ascii="Times New Roman" w:hAnsi="Times New Roman" w:cs="Times New Roman"/>
          <w:sz w:val="21"/>
          <w:szCs w:val="21"/>
          <w:lang w:val="en-US"/>
        </w:rPr>
        <w:t>advantageous only after</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w:t>
      </w:r>
      <w:r w:rsidR="00956E03">
        <w:rPr>
          <w:rFonts w:ascii="Times New Roman" w:hAnsi="Times New Roman" w:cs="Times New Roman"/>
          <w:sz w:val="21"/>
          <w:szCs w:val="21"/>
          <w:lang w:val="en-US"/>
        </w:rPr>
        <w:t>N</w:t>
      </w:r>
      <w:r w:rsidR="00956E03" w:rsidRPr="00956E03">
        <w:rPr>
          <w:rFonts w:ascii="Times New Roman" w:hAnsi="Times New Roman" w:cs="Times New Roman"/>
          <w:sz w:val="21"/>
          <w:szCs w:val="21"/>
          <w:vertAlign w:val="subscript"/>
          <w:lang w:val="en-US"/>
        </w:rPr>
        <w:t>BE</w:t>
      </w:r>
      <w:r>
        <w:rPr>
          <w:rFonts w:ascii="Times New Roman" w:hAnsi="Times New Roman" w:cs="Times New Roman"/>
          <w:sz w:val="21"/>
          <w:szCs w:val="21"/>
          <w:lang w:val="en-US"/>
        </w:rPr>
        <w:t xml:space="preserve"> = </w:t>
      </w:r>
      <w:r w:rsidR="00956E03">
        <w:rPr>
          <w:rFonts w:ascii="Times New Roman" w:hAnsi="Times New Roman" w:cs="Times New Roman"/>
          <w:sz w:val="21"/>
          <w:szCs w:val="21"/>
          <w:lang w:val="en-US"/>
        </w:rPr>
        <w:t>E</w:t>
      </w:r>
      <w:r w:rsidR="00956E03" w:rsidRPr="00956E03">
        <w:rPr>
          <w:rFonts w:ascii="Times New Roman" w:hAnsi="Times New Roman" w:cs="Times New Roman"/>
          <w:sz w:val="21"/>
          <w:szCs w:val="21"/>
          <w:vertAlign w:val="subscript"/>
          <w:lang w:val="en-US"/>
        </w:rPr>
        <w:t>twin</w:t>
      </w:r>
      <w:r>
        <w:rPr>
          <w:rFonts w:ascii="Times New Roman" w:hAnsi="Times New Roman" w:cs="Times New Roman"/>
          <w:sz w:val="21"/>
          <w:szCs w:val="21"/>
          <w:lang w:val="en-US"/>
        </w:rPr>
        <w:t xml:space="preserve">/ΔE inferences, and only when ΔE &gt; 0; if conversion and peripheral energy cancel the saving made in the analog core, so that ΔE ≤ 0, no number of inferences recovers the cost. Those </w:t>
      </w:r>
      <w:r w:rsidR="00956E03">
        <w:rPr>
          <w:rFonts w:ascii="Times New Roman" w:hAnsi="Times New Roman" w:cs="Times New Roman"/>
          <w:sz w:val="21"/>
          <w:szCs w:val="21"/>
          <w:lang w:val="en-US"/>
        </w:rPr>
        <w:t>N</w:t>
      </w:r>
      <w:r w:rsidR="00956E03" w:rsidRPr="00956E03">
        <w:rPr>
          <w:rFonts w:ascii="Times New Roman" w:hAnsi="Times New Roman" w:cs="Times New Roman"/>
          <w:sz w:val="21"/>
          <w:szCs w:val="21"/>
          <w:vertAlign w:val="subscript"/>
          <w:lang w:val="en-US"/>
        </w:rPr>
        <w:t>BE</w:t>
      </w:r>
      <w:r>
        <w:rPr>
          <w:rFonts w:ascii="Times New Roman" w:hAnsi="Times New Roman" w:cs="Times New Roman"/>
          <w:sz w:val="21"/>
          <w:szCs w:val="21"/>
          <w:lang w:val="en-US"/>
        </w:rPr>
        <w:t xml:space="preserve"> inferences must also be completed within the calibration lifetime over which the twin remains valid</w:t>
      </w:r>
      <w:r>
        <w:rPr>
          <w:rFonts w:ascii="Times New Roman" w:hAnsi="Times New Roman" w:cs="Times New Roman"/>
          <w:sz w:val="21"/>
          <w:szCs w:val="21"/>
          <w:vertAlign w:val="superscript"/>
          <w:lang w:val="en-US"/>
        </w:rPr>
        <w:t>32,33</w:t>
      </w:r>
      <w:r>
        <w:rPr>
          <w:rFonts w:ascii="Times New Roman" w:hAnsi="Times New Roman" w:cs="Times New Roman"/>
          <w:sz w:val="21"/>
          <w:szCs w:val="21"/>
          <w:lang w:val="en-US"/>
        </w:rPr>
        <w:t xml:space="preserve">, and each recalibration restarts the count by adding a further fitting cost to </w:t>
      </w:r>
      <w:r w:rsidR="00956E03">
        <w:rPr>
          <w:rFonts w:ascii="Times New Roman" w:hAnsi="Times New Roman" w:cs="Times New Roman"/>
          <w:sz w:val="21"/>
          <w:szCs w:val="21"/>
          <w:lang w:val="en-US"/>
        </w:rPr>
        <w:t>E</w:t>
      </w:r>
      <w:r w:rsidR="00956E03" w:rsidRPr="00956E03">
        <w:rPr>
          <w:rFonts w:ascii="Times New Roman" w:hAnsi="Times New Roman" w:cs="Times New Roman"/>
          <w:sz w:val="21"/>
          <w:szCs w:val="21"/>
          <w:vertAlign w:val="subscript"/>
          <w:lang w:val="en-US"/>
        </w:rPr>
        <w:t>twin</w:t>
      </w:r>
      <w:r>
        <w:rPr>
          <w:rFonts w:ascii="Times New Roman" w:hAnsi="Times New Roman" w:cs="Times New Roman"/>
          <w:sz w:val="21"/>
          <w:szCs w:val="21"/>
          <w:lang w:val="en-US"/>
        </w:rPr>
        <w:t>. Adjoint sensitivity analysis, reduced-order or physics-informed twins, twin-free in-situ training schemes, and amortization of one fitted twin across nominally identical devices all reduce this overhead</w:t>
      </w:r>
      <w:r>
        <w:rPr>
          <w:rFonts w:ascii="Times New Roman" w:hAnsi="Times New Roman" w:cs="Times New Roman"/>
          <w:sz w:val="21"/>
          <w:szCs w:val="21"/>
          <w:vertAlign w:val="superscript"/>
          <w:lang w:val="en-US"/>
        </w:rPr>
        <w:t>14,16</w:t>
      </w:r>
      <w:r>
        <w:rPr>
          <w:rFonts w:ascii="Times New Roman" w:hAnsi="Times New Roman" w:cs="Times New Roman"/>
          <w:sz w:val="21"/>
          <w:szCs w:val="21"/>
          <w:lang w:val="en-US"/>
        </w:rPr>
        <w:t>, but the trade-off is intrinsic rather than incidental: physical substrates suit sustained deployment of stable models better than short-lived, task-specific ones.</w:t>
      </w:r>
    </w:p>
    <w:p w14:paraId="53EC6DFA"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third demand is scientific reliability. In scientific machine learning, a model is often used outside the exact distribution on which it was trained. Standard neural networks can violate conservation, ignore boundary conditions, produce unstable long-time trajectories or fail under parameter shifts. Physics-integrated learning addresses this by restricting either the objective, the architecture, the latent dynamics or the learned operator to a physically admissible space</w:t>
      </w:r>
      <w:r>
        <w:rPr>
          <w:rFonts w:ascii="Times New Roman" w:hAnsi="Times New Roman" w:cs="Times New Roman"/>
          <w:sz w:val="21"/>
          <w:szCs w:val="21"/>
          <w:vertAlign w:val="superscript"/>
          <w:lang w:val="en-US"/>
        </w:rPr>
        <w:t>42-59</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Figure 2 contrasts the three execution modes and shows the hardware-aware training loop in which the reality gap drives the parameter updates.</w:t>
      </w:r>
    </w:p>
    <w:p w14:paraId="3043F86C" w14:textId="44AA0560" w:rsidR="00F256B4" w:rsidRDefault="00956E03">
      <w:pPr>
        <w:jc w:val="both"/>
        <w:rPr>
          <w:rFonts w:ascii="Times New Roman" w:hAnsi="Times New Roman" w:cs="Times New Roman"/>
          <w:sz w:val="21"/>
          <w:szCs w:val="21"/>
          <w:lang w:val="en-US"/>
        </w:rPr>
      </w:pPr>
      <w:r>
        <w:rPr>
          <w:rFonts w:ascii="Times New Roman" w:hAnsi="Times New Roman" w:cs="Times New Roman" w:hint="eastAsia"/>
          <w:noProof/>
          <w:sz w:val="21"/>
          <w:szCs w:val="21"/>
          <w:lang w:val="en-US"/>
        </w:rPr>
        <w:drawing>
          <wp:inline distT="0" distB="0" distL="0" distR="0" wp14:anchorId="499D0AF1" wp14:editId="743BA8D9">
            <wp:extent cx="5943600" cy="3773805"/>
            <wp:effectExtent l="0" t="0" r="0" b="0"/>
            <wp:docPr id="2121192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2110" name="图片 21211921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73805"/>
                    </a:xfrm>
                    <a:prstGeom prst="rect">
                      <a:avLst/>
                    </a:prstGeom>
                  </pic:spPr>
                </pic:pic>
              </a:graphicData>
            </a:graphic>
          </wp:inline>
        </w:drawing>
      </w:r>
    </w:p>
    <w:p w14:paraId="3A9E1097" w14:textId="19ACCB9C"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FIG. 2. Neural computation as a physical transformation.</w:t>
      </w:r>
      <w:r>
        <w:rPr>
          <w:rFonts w:ascii="Times New Roman" w:hAnsi="Times New Roman" w:cs="Times New Roman"/>
          <w:color w:val="000000" w:themeColor="text1"/>
          <w:sz w:val="20"/>
          <w:szCs w:val="20"/>
          <w:lang w:val="en-US"/>
        </w:rPr>
        <w:t xml:space="preserve"> </w:t>
      </w:r>
      <w:r>
        <w:rPr>
          <w:rFonts w:ascii="Times New Roman" w:hAnsi="Times New Roman" w:cs="Times New Roman"/>
          <w:b/>
          <w:bCs/>
          <w:color w:val="000000" w:themeColor="text1"/>
          <w:sz w:val="20"/>
          <w:szCs w:val="20"/>
          <w:lang w:val="en-US"/>
        </w:rPr>
        <w:t>(a)</w:t>
      </w:r>
      <w:r>
        <w:rPr>
          <w:rFonts w:ascii="Times New Roman" w:hAnsi="Times New Roman" w:cs="Times New Roman"/>
          <w:color w:val="000000" w:themeColor="text1"/>
          <w:sz w:val="20"/>
          <w:szCs w:val="20"/>
          <w:lang w:val="en-US"/>
        </w:rPr>
        <w:t xml:space="preserve"> Neural computation can be executed as a digital layer, a physical transformation or a physics-integrated model. </w:t>
      </w:r>
      <w:r>
        <w:rPr>
          <w:rFonts w:ascii="Times New Roman" w:hAnsi="Times New Roman" w:cs="Times New Roman"/>
          <w:b/>
          <w:bCs/>
          <w:color w:val="000000" w:themeColor="text1"/>
          <w:sz w:val="20"/>
          <w:szCs w:val="20"/>
          <w:lang w:val="en-US"/>
        </w:rPr>
        <w:t>(b)</w:t>
      </w:r>
      <w:r>
        <w:rPr>
          <w:rFonts w:ascii="Times New Roman" w:hAnsi="Times New Roman" w:cs="Times New Roman"/>
          <w:color w:val="000000" w:themeColor="text1"/>
          <w:sz w:val="20"/>
          <w:szCs w:val="20"/>
          <w:lang w:val="en-US"/>
        </w:rPr>
        <w:t xml:space="preserve"> Hardware-aware training closes the loop between task data, a digital twin of the substrate, </w:t>
      </w:r>
      <w:r>
        <w:rPr>
          <w:rFonts w:ascii="Times New Roman" w:hAnsi="Times New Roman" w:cs="Times New Roman"/>
          <w:color w:val="000000" w:themeColor="text1"/>
          <w:sz w:val="20"/>
          <w:szCs w:val="20"/>
          <w:lang w:val="en-US"/>
        </w:rPr>
        <w:t xml:space="preserve">measured physical </w:t>
      </w:r>
      <w:r>
        <w:rPr>
          <w:rFonts w:ascii="Times New Roman" w:hAnsi="Times New Roman" w:cs="Times New Roman"/>
          <w:color w:val="000000" w:themeColor="text1"/>
          <w:sz w:val="20"/>
          <w:szCs w:val="20"/>
          <w:lang w:val="en-US"/>
        </w:rPr>
        <w:t>behavior</w:t>
      </w:r>
      <w:r>
        <w:rPr>
          <w:rStyle w:val="af2"/>
          <w:rFonts w:ascii="Times New Roman" w:hAnsi="Times New Roman" w:cs="Times New Roman"/>
          <w:color w:val="000000" w:themeColor="text1"/>
          <w:sz w:val="20"/>
          <w:szCs w:val="20"/>
          <w:lang w:val="en-US"/>
        </w:rPr>
      </w:r>
      <w:r>
        <w:rPr>
          <w:rFonts w:ascii="Times New Roman" w:hAnsi="Times New Roman" w:cs="Times New Roman"/>
          <w:color w:val="000000" w:themeColor="text1"/>
          <w:sz w:val="20"/>
          <w:szCs w:val="20"/>
          <w:lang w:val="en-US"/>
        </w:rPr>
        <w:t xml:space="preserve"> and validation, with the reality gap Δ = </w:t>
      </w:r>
      <w:r>
        <w:rPr>
          <w:rFonts w:ascii="Times New Roman" w:hAnsi="Times New Roman" w:cs="Times New Roman"/>
          <w:color w:val="000000" w:themeColor="text1"/>
          <w:sz w:val="20"/>
          <w:szCs w:val="20"/>
          <w:lang w:val="en-US"/>
        </w:rPr>
        <w:t xml:space="preserve">T − </w:t>
      </w:r>
      <w:r>
        <w:rPr>
          <w:rFonts w:ascii="Times New Roman" w:hAnsi="Times New Roman" w:cs="Times New Roman"/>
          <w:color w:val="000000" w:themeColor="text1"/>
          <w:sz w:val="20"/>
          <w:szCs w:val="20"/>
          <w:lang w:val="en-US"/>
        </w:rPr>
        <w:t>T′</w:t>
      </w:r>
      <w:r>
        <w:rPr>
          <w:rFonts w:ascii="Times New Roman" w:hAnsi="Times New Roman" w:cs="Times New Roman"/>
          <w:color w:val="000000" w:themeColor="text1"/>
          <w:sz w:val="20"/>
          <w:szCs w:val="20"/>
          <w:lang w:val="en-US"/>
        </w:rPr>
        <w:t xml:space="preserve"> driving</w:t>
      </w:r>
      <w:r>
        <w:rPr>
          <w:rStyle w:val="af2"/>
          <w:rFonts w:ascii="Times New Roman" w:hAnsi="Times New Roman" w:cs="Times New Roman"/>
          <w:color w:val="000000" w:themeColor="text1"/>
          <w:sz w:val="20"/>
          <w:szCs w:val="20"/>
          <w:lang w:val="en-US"/>
        </w:rPr>
      </w:r>
      <w:r>
        <w:rPr>
          <w:rFonts w:ascii="Times New Roman" w:hAnsi="Times New Roman" w:cs="Times New Roman"/>
          <w:color w:val="000000" w:themeColor="text1"/>
          <w:sz w:val="20"/>
          <w:szCs w:val="20"/>
          <w:lang w:val="en-US"/>
        </w:rPr>
        <w:t xml:space="preserve"> iterative updates of the parameters θ.</w:t>
      </w:r>
      <w:r w:rsidR="00956E03">
        <w:rPr>
          <w:rFonts w:ascii="Times New Roman" w:hAnsi="Times New Roman" w:cs="Times New Roman"/>
          <w:color w:val="000000" w:themeColor="text1"/>
          <w:sz w:val="20"/>
          <w:szCs w:val="20"/>
          <w:lang w:val="en-US"/>
        </w:rPr>
        <w:t xml:space="preserve"> Abbreviations appearing inside the figure: GPU, graphics processing unit; TPU, tensor processing unit; PDE, partial differential equation.</w:t>
      </w:r>
    </w:p>
    <w:p w14:paraId="5CEF4406" w14:textId="0BB54152"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III. PHYSICAL</w:t>
      </w:r>
      <w:r>
        <w:rPr>
          <w:rFonts w:ascii="Times New Roman" w:hAnsi="Times New Roman" w:cs="Times New Roman"/>
          <w:sz w:val="24"/>
          <w:szCs w:val="24"/>
          <w:lang w:val="en-US"/>
        </w:rPr>
        <w:t xml:space="preserve"> NEURAL NETWORKS</w:t>
      </w:r>
    </w:p>
    <w:p w14:paraId="62118BD8" w14:textId="77777777" w:rsidR="00F256B4" w:rsidRDefault="00000000">
      <w:pPr>
        <w:jc w:val="both"/>
        <w:rPr>
          <w:rFonts w:ascii="Times New Roman" w:hAnsi="Times New Roman" w:cs="Times New Roman"/>
          <w:sz w:val="21"/>
          <w:szCs w:val="21"/>
          <w:lang w:val="en-US"/>
        </w:rPr>
      </w:pPr>
      <w:r>
        <w:rPr>
          <w:rFonts w:ascii="Times New Roman" w:hAnsi="Times New Roman" w:cs="Times New Roman"/>
          <w:sz w:val="21"/>
          <w:szCs w:val="21"/>
          <w:lang w:val="en-US"/>
        </w:rPr>
        <w:t>Physical neural networks use a material, wave or molecular system to perform transformations that are usually computed numerically. Their value should be assessed at the system level, not by isolated operations. A useful physical implementation must account for input and output conversion, weight storage, nonlinearity, training, calibration, robustness and application context.</w:t>
      </w:r>
    </w:p>
    <w:p w14:paraId="562ECC5D"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A. Optical and photonic systems</w:t>
      </w:r>
    </w:p>
    <w:p w14:paraId="5C62DF07"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Optical neural networks (ONNs) exploit propagation, diffraction, interference, modulation and photodetection. They are attractive because light supports high bandwidth and can implement linear transformations through passive or weakly powered components. Integrated photonic circuits have demonstrated coherent matrix operations, diffractive optical layers have shown all-optical classification, and recent reviews summarize rapid progress across free-space optics, integrated photonics, reservoir computing and hybrid optical-electronic architectures</w:t>
      </w:r>
      <w:r>
        <w:rPr>
          <w:rFonts w:ascii="Times New Roman" w:hAnsi="Times New Roman" w:cs="Times New Roman"/>
          <w:sz w:val="21"/>
          <w:szCs w:val="21"/>
          <w:vertAlign w:val="superscript"/>
          <w:lang w:val="en-US"/>
        </w:rPr>
        <w:t>11-15,18-19</w:t>
      </w:r>
      <w:r>
        <w:rPr>
          <w:rFonts w:ascii="Times New Roman" w:hAnsi="Times New Roman" w:cs="Times New Roman"/>
          <w:sz w:val="21"/>
          <w:szCs w:val="21"/>
          <w:lang w:val="en-US"/>
        </w:rPr>
        <w:t>.</w:t>
      </w:r>
    </w:p>
    <w:p w14:paraId="5813082D"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frontier is shifting from isolated optical layers toward trainable physical systems. Deep physical neural networks trained with backpropagation showed that arbitrary controllable physical systems can be incorporated into a hybrid training loop</w:t>
      </w:r>
      <w:r>
        <w:rPr>
          <w:rFonts w:ascii="Times New Roman" w:hAnsi="Times New Roman" w:cs="Times New Roman"/>
          <w:sz w:val="21"/>
          <w:szCs w:val="21"/>
          <w:vertAlign w:val="superscript"/>
          <w:lang w:val="en-US"/>
        </w:rPr>
        <w:t>14</w:t>
      </w:r>
      <w:r>
        <w:rPr>
          <w:rFonts w:ascii="Times New Roman" w:hAnsi="Times New Roman" w:cs="Times New Roman"/>
          <w:sz w:val="21"/>
          <w:szCs w:val="21"/>
          <w:lang w:val="en-US"/>
        </w:rPr>
        <w:t>. Quantum-limited stochastic ONNs demonstrated that inference can remain accurate when hidden activations operate with only a few photons, provided the training model accounts for the stochastic physics of the process</w:t>
      </w:r>
      <w:r>
        <w:rPr>
          <w:rFonts w:ascii="Times New Roman" w:hAnsi="Times New Roman" w:cs="Times New Roman"/>
          <w:sz w:val="21"/>
          <w:szCs w:val="21"/>
          <w:vertAlign w:val="superscript"/>
          <w:lang w:val="en-US"/>
        </w:rPr>
        <w:t>15</w:t>
      </w:r>
      <w:r>
        <w:rPr>
          <w:rFonts w:ascii="Times New Roman" w:hAnsi="Times New Roman" w:cs="Times New Roman"/>
          <w:sz w:val="21"/>
          <w:szCs w:val="21"/>
          <w:lang w:val="en-US"/>
        </w:rPr>
        <w:t>. A 2025 Nature review further framed training of physical neural networks as a central challenge for the field rather than a downstream implementation detail</w:t>
      </w:r>
      <w:r>
        <w:rPr>
          <w:rFonts w:ascii="Times New Roman" w:hAnsi="Times New Roman" w:cs="Times New Roman"/>
          <w:sz w:val="21"/>
          <w:szCs w:val="21"/>
          <w:vertAlign w:val="superscript"/>
          <w:lang w:val="en-US"/>
        </w:rPr>
        <w:t>16</w:t>
      </w:r>
      <w:r>
        <w:rPr>
          <w:rFonts w:ascii="Times New Roman" w:hAnsi="Times New Roman" w:cs="Times New Roman"/>
          <w:sz w:val="21"/>
          <w:szCs w:val="21"/>
          <w:lang w:val="en-US"/>
        </w:rPr>
        <w:t>.</w:t>
      </w:r>
    </w:p>
    <w:p w14:paraId="6D2D911E" w14:textId="464133AE"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Recent work also reframes optical hardware as a trainable physical system rather than a passive accelerator. If </w:t>
      </w:r>
      <w:r>
        <w:rPr>
          <w:rFonts w:ascii="Times New Roman" w:hAnsi="Times New Roman" w:cs="Times New Roman"/>
          <w:sz w:val="21"/>
          <w:szCs w:val="21"/>
          <w:lang w:val="en-US"/>
        </w:rPr>
        <w:lastRenderedPageBreak/>
        <w:t xml:space="preserve">future foundation models stabilize around a small number of large, repeatedly deployed architectures, fixed or semi-fixed optical implementations may become more plausible than in an era of rapidly changing task-specific models. This remains a conceptual direction rather than a demonstrated route to ultra-large-scale artificial intelligence. The barriers are </w:t>
      </w:r>
      <w:r w:rsidR="00956E03" w:rsidRPr="00956E03">
        <w:rPr>
          <w:rFonts w:ascii="Times New Roman" w:hAnsi="Times New Roman" w:cs="Times New Roman"/>
          <w:sz w:val="21"/>
          <w:szCs w:val="21"/>
          <w:lang w:val="en-US"/>
        </w:rPr>
        <w:t>substantial</w:t>
      </w:r>
      <w:r>
        <w:rPr>
          <w:rFonts w:ascii="Times New Roman" w:hAnsi="Times New Roman" w:cs="Times New Roman"/>
          <w:sz w:val="21"/>
          <w:szCs w:val="21"/>
          <w:lang w:val="en-US"/>
        </w:rPr>
        <w:t>: fabrication precision, programmability, model updating, loss, nonlinear activation, digital interfacing and verification</w:t>
      </w:r>
      <w:r>
        <w:rPr>
          <w:rFonts w:ascii="Times New Roman" w:hAnsi="Times New Roman" w:cs="Times New Roman"/>
          <w:sz w:val="21"/>
          <w:szCs w:val="21"/>
          <w:vertAlign w:val="superscript"/>
          <w:lang w:val="en-US"/>
        </w:rPr>
        <w:t>14-17</w:t>
      </w:r>
      <w:r>
        <w:rPr>
          <w:rFonts w:ascii="Times New Roman" w:hAnsi="Times New Roman" w:cs="Times New Roman"/>
          <w:sz w:val="21"/>
          <w:szCs w:val="21"/>
          <w:lang w:val="en-US"/>
        </w:rPr>
        <w:t>.</w:t>
      </w:r>
    </w:p>
    <w:p w14:paraId="082525E3"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A defensible near-term framing is therefore hybrid and full-stack. Optical systems may provide high-throughput linear transforms, convolution-like propagation, optical front-end processing or physical random features; electronics will likely remain essential for memory, control, nonlinear activation, training orchestration and error management</w:t>
      </w:r>
      <w:r>
        <w:rPr>
          <w:rFonts w:ascii="Times New Roman" w:hAnsi="Times New Roman" w:cs="Times New Roman"/>
          <w:sz w:val="21"/>
          <w:szCs w:val="21"/>
          <w:vertAlign w:val="superscript"/>
          <w:lang w:val="en-US"/>
        </w:rPr>
        <w:t>13-16,18-19</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Figure 3 collects the four substrate families together with the physical resource each of them uses for computation.</w:t>
      </w:r>
    </w:p>
    <w:p w14:paraId="142B1DDB" w14:textId="5A93DB82" w:rsidR="00F256B4" w:rsidRDefault="00956E03">
      <w:pPr>
        <w:jc w:val="both"/>
        <w:rPr>
          <w:rFonts w:ascii="Times New Roman" w:hAnsi="Times New Roman" w:cs="Times New Roman"/>
          <w:sz w:val="21"/>
          <w:szCs w:val="21"/>
          <w:lang w:val="en-US"/>
        </w:rPr>
      </w:pPr>
      <w:r>
        <w:rPr>
          <w:rFonts w:ascii="Times New Roman" w:hAnsi="Times New Roman" w:cs="Times New Roman" w:hint="eastAsia"/>
          <w:noProof/>
          <w:sz w:val="21"/>
          <w:szCs w:val="21"/>
          <w:lang w:val="en-US"/>
        </w:rPr>
        <w:drawing>
          <wp:inline distT="0" distB="0" distL="0" distR="0" wp14:anchorId="7558F6CB" wp14:editId="5F950DB4">
            <wp:extent cx="5943600" cy="5159375"/>
            <wp:effectExtent l="0" t="0" r="0" b="0"/>
            <wp:docPr id="113927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255" name="图片 1139272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159375"/>
                    </a:xfrm>
                    <a:prstGeom prst="rect">
                      <a:avLst/>
                    </a:prstGeom>
                  </pic:spPr>
                </pic:pic>
              </a:graphicData>
            </a:graphic>
          </wp:inline>
        </w:drawing>
      </w:r>
    </w:p>
    <w:p w14:paraId="55250A5D" w14:textId="4719BAD7"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FIG. 3. Physical substrates for neural computation.</w:t>
      </w:r>
      <w:r>
        <w:rPr>
          <w:rFonts w:ascii="Times New Roman" w:hAnsi="Times New Roman" w:cs="Times New Roman"/>
          <w:color w:val="000000" w:themeColor="text1"/>
          <w:sz w:val="20"/>
          <w:szCs w:val="20"/>
          <w:lang w:val="en-US"/>
        </w:rPr>
        <w:t xml:space="preserve"> Optical, quantum, memristive and biomolecular platforms use different native physical resources and therefore support different neural-computing roles. Specifically, optical substrates achieve light-speed linear layers via </w:t>
      </w:r>
      <w:r>
        <w:rPr>
          <w:rFonts w:ascii="Times New Roman" w:hAnsi="Times New Roman" w:cs="Times New Roman"/>
          <w:color w:val="000000" w:themeColor="text1"/>
          <w:sz w:val="20"/>
          <w:szCs w:val="20"/>
          <w:lang w:val="en-US"/>
        </w:rPr>
        <w:t>Mach–Zehnder interferometer (MZI)</w:t>
      </w:r>
      <w:r>
        <w:rPr>
          <w:rFonts w:ascii="Times New Roman" w:hAnsi="Times New Roman" w:cs="Times New Roman"/>
          <w:color w:val="000000" w:themeColor="text1"/>
          <w:sz w:val="20"/>
          <w:szCs w:val="20"/>
          <w:lang w:val="en-US"/>
        </w:rPr>
        <w:t xml:space="preserve"> meshes (ref. 11) or diffractive ONNs (ref. 12); quantum platforms implement feature kernels (ref. 20) and quantum </w:t>
      </w:r>
      <w:r>
        <w:rPr>
          <w:rFonts w:ascii="Times New Roman" w:hAnsi="Times New Roman" w:cs="Times New Roman"/>
          <w:color w:val="000000" w:themeColor="text1"/>
          <w:sz w:val="20"/>
          <w:szCs w:val="20"/>
          <w:lang w:val="en-US"/>
        </w:rPr>
        <w:t>convolutional neural networks (</w:t>
      </w:r>
      <w:r>
        <w:rPr>
          <w:rFonts w:ascii="Times New Roman" w:hAnsi="Times New Roman" w:cs="Times New Roman"/>
          <w:color w:val="000000" w:themeColor="text1"/>
          <w:sz w:val="20"/>
          <w:szCs w:val="20"/>
          <w:lang w:val="en-US"/>
        </w:rPr>
        <w:t>CNNs</w:t>
      </w:r>
      <w:r>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(ref. 21); memristive devices enable in-memory analog </w:t>
      </w:r>
      <w:r>
        <w:rPr>
          <w:rFonts w:ascii="Times New Roman" w:hAnsi="Times New Roman" w:cs="Times New Roman"/>
          <w:color w:val="000000" w:themeColor="text1"/>
          <w:sz w:val="20"/>
          <w:szCs w:val="20"/>
          <w:lang w:val="en-US"/>
        </w:rPr>
        <w:t>multiply–accumulate (</w:t>
      </w:r>
      <w:r>
        <w:rPr>
          <w:rFonts w:ascii="Times New Roman" w:hAnsi="Times New Roman" w:cs="Times New Roman"/>
          <w:color w:val="000000" w:themeColor="text1"/>
          <w:sz w:val="20"/>
          <w:szCs w:val="20"/>
          <w:lang w:val="en-US"/>
        </w:rPr>
        <w:t>MAC</w:t>
      </w:r>
      <w:r>
        <w:rPr>
          <w:rFonts w:ascii="Times New Roman" w:hAnsi="Times New Roman" w:cs="Times New Roman"/>
          <w:color w:val="000000" w:themeColor="text1"/>
          <w:sz w:val="20"/>
          <w:szCs w:val="20"/>
          <w:lang w:val="en-US"/>
        </w:rPr>
        <w:t>) operations</w:t>
      </w:r>
      <w:r>
        <w:rPr>
          <w:rFonts w:ascii="Times New Roman" w:hAnsi="Times New Roman" w:cs="Times New Roman"/>
          <w:color w:val="000000" w:themeColor="text1"/>
          <w:sz w:val="20"/>
          <w:szCs w:val="20"/>
          <w:lang w:val="en-US"/>
        </w:rPr>
        <w:t xml:space="preserve"> through NeuRRAM (ref. 32) or </w:t>
      </w:r>
      <w:r>
        <w:rPr>
          <w:rFonts w:ascii="Times New Roman" w:hAnsi="Times New Roman" w:cs="Times New Roman"/>
          <w:color w:val="000000" w:themeColor="text1"/>
          <w:sz w:val="20"/>
          <w:szCs w:val="20"/>
          <w:lang w:val="en-US"/>
        </w:rPr>
        <w:t>phase-change memory (</w:t>
      </w:r>
      <w:r>
        <w:rPr>
          <w:rFonts w:ascii="Times New Roman" w:hAnsi="Times New Roman" w:cs="Times New Roman"/>
          <w:color w:val="000000" w:themeColor="text1"/>
          <w:sz w:val="20"/>
          <w:szCs w:val="20"/>
          <w:lang w:val="en-US"/>
        </w:rPr>
        <w:t>PCM</w:t>
      </w:r>
      <w:r>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accelerators (ref. 33); and biomolecular elements function inside wet systems as DNA (ref. 3</w:t>
      </w:r>
      <w:r>
        <w:rPr>
          <w:rFonts w:ascii="Times New Roman" w:hAnsi="Times New Roman" w:cs="Times New Roman" w:hint="eastAsia"/>
          <w:color w:val="000000" w:themeColor="text1"/>
          <w:sz w:val="20"/>
          <w:szCs w:val="20"/>
          <w:lang w:val="en-US"/>
        </w:rPr>
        <w:t>6</w:t>
      </w:r>
      <w:r>
        <w:rPr>
          <w:rFonts w:ascii="Times New Roman" w:hAnsi="Times New Roman" w:cs="Times New Roman"/>
          <w:color w:val="000000" w:themeColor="text1"/>
          <w:sz w:val="20"/>
          <w:szCs w:val="20"/>
          <w:lang w:val="en-US"/>
        </w:rPr>
        <w:t xml:space="preserve">) or cell-free classifiers (ref. 38). </w:t>
      </w:r>
      <w:r w:rsidR="00956E03" w:rsidRPr="00956E03">
        <w:rPr>
          <w:rFonts w:ascii="Times New Roman" w:hAnsi="Times New Roman" w:cs="Times New Roman"/>
          <w:color w:val="000000" w:themeColor="text1"/>
          <w:sz w:val="20"/>
          <w:szCs w:val="20"/>
          <w:lang w:val="en-US"/>
        </w:rPr>
        <w:t>What the figure compares is the full mapping from physical law to neural function and system-level bottleneck, not a single operation. Abbreviations appearing inside the figure: ONN, optical neural network; GEMM, general matrix multiply; E/O, electrical-to-optical; ADC, analog-</w:t>
      </w:r>
      <w:r w:rsidR="00956E03" w:rsidRPr="00956E03">
        <w:rPr>
          <w:rFonts w:ascii="Times New Roman" w:hAnsi="Times New Roman" w:cs="Times New Roman"/>
          <w:color w:val="000000" w:themeColor="text1"/>
          <w:sz w:val="20"/>
          <w:szCs w:val="20"/>
          <w:lang w:val="en-US"/>
        </w:rPr>
        <w:lastRenderedPageBreak/>
        <w:t>to-digital converter</w:t>
      </w:r>
      <w:r>
        <w:rPr>
          <w:rFonts w:ascii="Times New Roman" w:hAnsi="Times New Roman" w:cs="Times New Roman"/>
          <w:color w:val="000000" w:themeColor="text1"/>
          <w:sz w:val="20"/>
          <w:szCs w:val="20"/>
          <w:lang w:val="en-US"/>
        </w:rPr>
        <w:t>.</w:t>
      </w:r>
    </w:p>
    <w:p w14:paraId="090B6748"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B. Quantum neural networks</w:t>
      </w:r>
    </w:p>
    <w:p w14:paraId="1585F24D"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Quantum neural networks (QNNs) use parameterized quantum circuits, quantum feature maps or quantum many-body dynamics to process information in Hilbert spaces. Their motivation differs from that of ONNs. Optical systems mainly target high-bandwidth physical signal processing, whereas QNNs target quantum-native representation, quantum data, quantum simulation and possible advantage under carefully specified data-access assumptions</w:t>
      </w:r>
      <w:r>
        <w:rPr>
          <w:rFonts w:ascii="Times New Roman" w:hAnsi="Times New Roman" w:cs="Times New Roman"/>
          <w:sz w:val="21"/>
          <w:szCs w:val="21"/>
          <w:vertAlign w:val="superscript"/>
          <w:lang w:val="en-US"/>
        </w:rPr>
        <w:t>20-26</w:t>
      </w:r>
      <w:r>
        <w:rPr>
          <w:rFonts w:ascii="Times New Roman" w:hAnsi="Times New Roman" w:cs="Times New Roman"/>
          <w:sz w:val="21"/>
          <w:szCs w:val="21"/>
          <w:lang w:val="en-US"/>
        </w:rPr>
        <w:t>.</w:t>
      </w:r>
    </w:p>
    <w:p w14:paraId="4EAD2FD7"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field has matured toward a more cautious view. Quantum feature maps link quantum learning to kernel methods</w:t>
      </w:r>
      <w:r>
        <w:rPr>
          <w:rFonts w:ascii="Times New Roman" w:hAnsi="Times New Roman" w:cs="Times New Roman"/>
          <w:sz w:val="21"/>
          <w:szCs w:val="21"/>
          <w:vertAlign w:val="superscript"/>
          <w:lang w:val="en-US"/>
        </w:rPr>
        <w:t>20</w:t>
      </w:r>
      <w:r>
        <w:rPr>
          <w:rFonts w:ascii="Times New Roman" w:hAnsi="Times New Roman" w:cs="Times New Roman"/>
          <w:sz w:val="21"/>
          <w:szCs w:val="21"/>
          <w:lang w:val="en-US"/>
        </w:rPr>
        <w:t>. Quantum convolutional neural networks use hierarchical circuits inspired by convolution and renormalization</w:t>
      </w:r>
      <w:r>
        <w:rPr>
          <w:rFonts w:ascii="Times New Roman" w:hAnsi="Times New Roman" w:cs="Times New Roman"/>
          <w:sz w:val="21"/>
          <w:szCs w:val="21"/>
          <w:vertAlign w:val="superscript"/>
          <w:lang w:val="en-US"/>
        </w:rPr>
        <w:t>21</w:t>
      </w:r>
      <w:r>
        <w:rPr>
          <w:rFonts w:ascii="Times New Roman" w:hAnsi="Times New Roman" w:cs="Times New Roman"/>
          <w:sz w:val="21"/>
          <w:szCs w:val="21"/>
          <w:lang w:val="en-US"/>
        </w:rPr>
        <w:t>. Studies of quantum neural network capacity suggest potential representational advantages under certain assumptions</w:t>
      </w:r>
      <w:r>
        <w:rPr>
          <w:rFonts w:ascii="Times New Roman" w:hAnsi="Times New Roman" w:cs="Times New Roman"/>
          <w:sz w:val="21"/>
          <w:szCs w:val="21"/>
          <w:vertAlign w:val="superscript"/>
          <w:lang w:val="en-US"/>
        </w:rPr>
        <w:t>22</w:t>
      </w:r>
      <w:r>
        <w:rPr>
          <w:rFonts w:ascii="Times New Roman" w:hAnsi="Times New Roman" w:cs="Times New Roman"/>
          <w:sz w:val="21"/>
          <w:szCs w:val="21"/>
          <w:lang w:val="en-US"/>
        </w:rPr>
        <w:t>, whereas work on data access and classical shadows has narrowed the conditions under which quantum advantage can be claimed</w:t>
      </w:r>
      <w:r>
        <w:rPr>
          <w:rFonts w:ascii="Times New Roman" w:hAnsi="Times New Roman" w:cs="Times New Roman"/>
          <w:sz w:val="21"/>
          <w:szCs w:val="21"/>
          <w:vertAlign w:val="superscript"/>
          <w:lang w:val="en-US"/>
        </w:rPr>
        <w:t>23</w:t>
      </w:r>
      <w:r>
        <w:rPr>
          <w:rFonts w:ascii="Times New Roman" w:hAnsi="Times New Roman" w:cs="Times New Roman"/>
          <w:sz w:val="21"/>
          <w:szCs w:val="21"/>
          <w:lang w:val="en-US"/>
        </w:rPr>
        <w:t>. Barren plateaus remain a central trainability problem, especially for random parameterized circuits</w:t>
      </w:r>
      <w:r>
        <w:rPr>
          <w:rFonts w:ascii="Times New Roman" w:hAnsi="Times New Roman" w:cs="Times New Roman"/>
          <w:sz w:val="21"/>
          <w:szCs w:val="21"/>
          <w:vertAlign w:val="superscript"/>
          <w:lang w:val="en-US"/>
        </w:rPr>
        <w:t>26</w:t>
      </w:r>
      <w:r>
        <w:rPr>
          <w:rFonts w:ascii="Times New Roman" w:hAnsi="Times New Roman" w:cs="Times New Roman"/>
          <w:sz w:val="21"/>
          <w:szCs w:val="21"/>
          <w:lang w:val="en-US"/>
        </w:rPr>
        <w:t>.</w:t>
      </w:r>
    </w:p>
    <w:p w14:paraId="651129F6" w14:textId="752B1ECA"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Recent theory adds nuance rather than simple optimism. Quantum neural networks have been shown to form Gaussian processes in large Hilbert-space limits, providing a mathematical connection to infinite-width classical neural-network theory while also revealing severe concentration effects in some settings</w:t>
      </w:r>
      <w:r>
        <w:rPr>
          <w:rFonts w:ascii="Times New Roman" w:hAnsi="Times New Roman" w:cs="Times New Roman"/>
          <w:sz w:val="21"/>
          <w:szCs w:val="21"/>
          <w:vertAlign w:val="superscript"/>
          <w:lang w:val="en-US"/>
        </w:rPr>
        <w:t>24</w:t>
      </w:r>
      <w:r>
        <w:rPr>
          <w:rFonts w:ascii="Times New Roman" w:hAnsi="Times New Roman" w:cs="Times New Roman"/>
          <w:sz w:val="21"/>
          <w:szCs w:val="21"/>
          <w:lang w:val="en-US"/>
        </w:rPr>
        <w:t>. Photonic quantum convolutional neural networks with adaptive state injection have also been proposed as a route to increase expressivity in linear optical platforms</w:t>
      </w:r>
      <w:r>
        <w:rPr>
          <w:rFonts w:ascii="Times New Roman" w:hAnsi="Times New Roman" w:cs="Times New Roman"/>
          <w:sz w:val="21"/>
          <w:szCs w:val="21"/>
          <w:vertAlign w:val="superscript"/>
          <w:lang w:val="en-US"/>
        </w:rPr>
        <w:t>25</w:t>
      </w:r>
      <w:r>
        <w:rPr>
          <w:rFonts w:ascii="Times New Roman" w:hAnsi="Times New Roman" w:cs="Times New Roman"/>
          <w:sz w:val="21"/>
          <w:szCs w:val="21"/>
          <w:lang w:val="en-US"/>
        </w:rPr>
        <w:t xml:space="preserve">. These results are </w:t>
      </w:r>
      <w:r w:rsidR="00956E03" w:rsidRPr="00956E03">
        <w:rPr>
          <w:rFonts w:ascii="Times New Roman" w:hAnsi="Times New Roman" w:cs="Times New Roman"/>
          <w:sz w:val="21"/>
          <w:szCs w:val="21"/>
          <w:lang w:val="en-US"/>
        </w:rPr>
        <w:t>informativ</w:t>
      </w:r>
      <w:r>
        <w:rPr>
          <w:rFonts w:ascii="Times New Roman" w:hAnsi="Times New Roman" w:cs="Times New Roman"/>
          <w:sz w:val="21"/>
          <w:szCs w:val="21"/>
          <w:lang w:val="en-US"/>
        </w:rPr>
        <w:t>e, but they do not by themselves establish broad practical advantage. For this reason, QNNs should be framed as a promising route for quantum-native problems and specialized learning tasks, not as a general replacement for classical deep learning.</w:t>
      </w:r>
    </w:p>
    <w:p w14:paraId="5E83C0EB"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C. Memristive and neuromorphic systems</w:t>
      </w:r>
    </w:p>
    <w:p w14:paraId="7F8CEF8D"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Memristive neural networks use resistive switching devices whose conductance stores synaptic weights and whose crossbar geometry naturally supports matrix-vector multiplication</w:t>
      </w:r>
      <w:r>
        <w:rPr>
          <w:rFonts w:ascii="Times New Roman" w:hAnsi="Times New Roman" w:cs="Times New Roman"/>
          <w:sz w:val="21"/>
          <w:szCs w:val="21"/>
          <w:vertAlign w:val="superscript"/>
          <w:lang w:val="en-US"/>
        </w:rPr>
        <w:t>27-31</w:t>
      </w:r>
      <w:r>
        <w:rPr>
          <w:rFonts w:ascii="Times New Roman" w:hAnsi="Times New Roman" w:cs="Times New Roman"/>
          <w:sz w:val="21"/>
          <w:szCs w:val="21"/>
          <w:lang w:val="en-US"/>
        </w:rPr>
        <w:t>. Their central appeal is the reduction of data movement: memory and computation occur in the same physical substrate. Demonstrations such as fully hardware-implemented memristor convolutional networks show that end-to-end neural inference can be realized directly in device arrays</w:t>
      </w:r>
      <w:r>
        <w:rPr>
          <w:rFonts w:ascii="Times New Roman" w:hAnsi="Times New Roman" w:cs="Times New Roman"/>
          <w:sz w:val="21"/>
          <w:szCs w:val="21"/>
          <w:vertAlign w:val="superscript"/>
          <w:lang w:val="en-US"/>
        </w:rPr>
        <w:t>31</w:t>
      </w:r>
      <w:r>
        <w:rPr>
          <w:rFonts w:ascii="Times New Roman" w:hAnsi="Times New Roman" w:cs="Times New Roman"/>
          <w:sz w:val="21"/>
          <w:szCs w:val="21"/>
          <w:lang w:val="en-US"/>
        </w:rPr>
        <w:t>.</w:t>
      </w:r>
    </w:p>
    <w:p w14:paraId="5CCF01E9"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main challenges are device variability, endurance, asymmetric updates, limited precision, sneak paths and peripheral circuitry</w:t>
      </w:r>
      <w:r>
        <w:rPr>
          <w:rFonts w:ascii="Times New Roman" w:hAnsi="Times New Roman" w:cs="Times New Roman"/>
          <w:sz w:val="21"/>
          <w:szCs w:val="21"/>
          <w:vertAlign w:val="superscript"/>
          <w:lang w:val="en-US"/>
        </w:rPr>
        <w:t>29-34</w:t>
      </w:r>
      <w:r>
        <w:rPr>
          <w:rFonts w:ascii="Times New Roman" w:hAnsi="Times New Roman" w:cs="Times New Roman"/>
          <w:sz w:val="21"/>
          <w:szCs w:val="21"/>
          <w:lang w:val="en-US"/>
        </w:rPr>
        <w:t>. The strongest peer-reviewed evidence for a more dynamical view of memristive computation is work on inhomogeneous memristive hardware for sequence learning</w:t>
      </w:r>
      <w:r>
        <w:rPr>
          <w:rFonts w:ascii="Times New Roman" w:hAnsi="Times New Roman" w:cs="Times New Roman"/>
          <w:sz w:val="21"/>
          <w:szCs w:val="21"/>
          <w:vertAlign w:val="superscript"/>
          <w:lang w:val="en-US"/>
        </w:rPr>
        <w:t>34</w:t>
      </w:r>
      <w:r>
        <w:rPr>
          <w:rFonts w:ascii="Times New Roman" w:hAnsi="Times New Roman" w:cs="Times New Roman"/>
          <w:sz w:val="21"/>
          <w:szCs w:val="21"/>
          <w:lang w:val="en-US"/>
        </w:rPr>
        <w:t>. Such systems may not merely emulate predefined neural networks, but use Kirchhoff-constrained transport, resistive switching and evolving internal states as native learning resources.</w:t>
      </w:r>
    </w:p>
    <w:p w14:paraId="0C893412"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This distinction matters. A memristive crossbar used as a matrix multiplier is a physical implementation of a familiar operation. A dynamical memristive network is closer to a physical learner whose internal state and signal transport co-evolve. The second view is scientifically richer, but it also makes training, reproducibility and benchmarking more difficult. Progress will require co-design across materials, circuits, algorithms and system-level validation</w:t>
      </w:r>
      <w:r>
        <w:rPr>
          <w:rFonts w:ascii="Times New Roman" w:hAnsi="Times New Roman" w:cs="Times New Roman"/>
          <w:sz w:val="21"/>
          <w:szCs w:val="21"/>
          <w:vertAlign w:val="superscript"/>
          <w:lang w:val="en-US"/>
        </w:rPr>
        <w:t>9,16,29-34</w:t>
      </w:r>
      <w:r>
        <w:rPr>
          <w:rFonts w:ascii="Times New Roman" w:hAnsi="Times New Roman" w:cs="Times New Roman"/>
          <w:sz w:val="21"/>
          <w:szCs w:val="21"/>
          <w:lang w:val="en-US"/>
        </w:rPr>
        <w:t>.</w:t>
      </w:r>
    </w:p>
    <w:p w14:paraId="069F43A6"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D. Biomolecular neural networks</w:t>
      </w:r>
    </w:p>
    <w:p w14:paraId="26F2F81F" w14:textId="19D9096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Biomolecular neural networks use DNA, proteins, enzymes or genetic circuits to compute in the native medium of biological information</w:t>
      </w:r>
      <w:r>
        <w:rPr>
          <w:rFonts w:ascii="Times New Roman" w:hAnsi="Times New Roman" w:cs="Times New Roman"/>
          <w:sz w:val="21"/>
          <w:szCs w:val="21"/>
          <w:vertAlign w:val="superscript"/>
          <w:lang w:val="en-US"/>
        </w:rPr>
        <w:t>35-41</w:t>
      </w:r>
      <w:r>
        <w:rPr>
          <w:rFonts w:ascii="Times New Roman" w:hAnsi="Times New Roman" w:cs="Times New Roman"/>
          <w:sz w:val="21"/>
          <w:szCs w:val="21"/>
          <w:lang w:val="en-US"/>
        </w:rPr>
        <w:t xml:space="preserve">. Their purpose is not to outperform </w:t>
      </w:r>
      <w:r>
        <w:rPr>
          <w:rFonts w:ascii="Times New Roman" w:hAnsi="Times New Roman" w:cs="Times New Roman"/>
          <w:sz w:val="21"/>
          <w:szCs w:val="21"/>
          <w:lang w:val="en-US"/>
        </w:rPr>
        <w:t>graphics processing units (</w:t>
      </w:r>
      <w:r>
        <w:rPr>
          <w:rFonts w:ascii="Times New Roman" w:hAnsi="Times New Roman" w:cs="Times New Roman"/>
          <w:sz w:val="21"/>
          <w:szCs w:val="21"/>
          <w:lang w:val="en-US"/>
        </w:rPr>
        <w:t>GPUs</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on conventional benchmarks. It is to enable molecular decision-making for diagnostics, synthetic biology, smart therapeutics, cellular sensing and lab-on-a-chip systems.</w:t>
      </w:r>
    </w:p>
    <w:p w14:paraId="5225754F"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DNA strand-displacement cascades showed that molecular reactions can implement neural-network-like associative computation</w:t>
      </w:r>
      <w:r>
        <w:rPr>
          <w:rFonts w:ascii="Times New Roman" w:hAnsi="Times New Roman" w:cs="Times New Roman"/>
          <w:sz w:val="21"/>
          <w:szCs w:val="21"/>
          <w:vertAlign w:val="superscript"/>
          <w:lang w:val="en-US"/>
        </w:rPr>
        <w:t>35</w:t>
      </w:r>
      <w:r>
        <w:rPr>
          <w:rFonts w:ascii="Times New Roman" w:hAnsi="Times New Roman" w:cs="Times New Roman"/>
          <w:sz w:val="21"/>
          <w:szCs w:val="21"/>
          <w:lang w:val="en-US"/>
        </w:rPr>
        <w:t>. DNA-based winner-take-all networks scaled molecular pattern recognition and demonstrated robust classification under noisy molecular inputs</w:t>
      </w:r>
      <w:r>
        <w:rPr>
          <w:rFonts w:ascii="Times New Roman" w:hAnsi="Times New Roman" w:cs="Times New Roman"/>
          <w:sz w:val="21"/>
          <w:szCs w:val="21"/>
          <w:vertAlign w:val="superscript"/>
          <w:lang w:val="en-US"/>
        </w:rPr>
        <w:t>36</w:t>
      </w:r>
      <w:r>
        <w:rPr>
          <w:rFonts w:ascii="Times New Roman" w:hAnsi="Times New Roman" w:cs="Times New Roman"/>
          <w:sz w:val="21"/>
          <w:szCs w:val="21"/>
          <w:lang w:val="en-US"/>
        </w:rPr>
        <w:t xml:space="preserve">. Recent enzyme-powered DNA computing networks improved modularity by using high-purity enzymatic synthesis, spatial patterning of neuron clusters </w:t>
      </w:r>
      <w:r>
        <w:rPr>
          <w:rFonts w:ascii="Times New Roman" w:hAnsi="Times New Roman" w:cs="Times New Roman"/>
          <w:sz w:val="21"/>
          <w:szCs w:val="21"/>
          <w:lang w:val="en-US"/>
        </w:rPr>
        <w:lastRenderedPageBreak/>
        <w:t>and rewireable connectivity on DNA backbones</w:t>
      </w:r>
      <w:r>
        <w:rPr>
          <w:rFonts w:ascii="Times New Roman" w:hAnsi="Times New Roman" w:cs="Times New Roman"/>
          <w:sz w:val="21"/>
          <w:szCs w:val="21"/>
          <w:vertAlign w:val="superscript"/>
          <w:lang w:val="en-US"/>
        </w:rPr>
        <w:t>37</w:t>
      </w:r>
      <w:r>
        <w:rPr>
          <w:rFonts w:ascii="Times New Roman" w:hAnsi="Times New Roman" w:cs="Times New Roman"/>
          <w:sz w:val="21"/>
          <w:szCs w:val="21"/>
          <w:lang w:val="en-US"/>
        </w:rPr>
        <w:t>. Biomolecular classifiers with shared resources have also shown how cellular constraints such as resource competition shape decision boundaries</w:t>
      </w:r>
      <w:r>
        <w:rPr>
          <w:rFonts w:ascii="Times New Roman" w:hAnsi="Times New Roman" w:cs="Times New Roman"/>
          <w:sz w:val="21"/>
          <w:szCs w:val="21"/>
          <w:vertAlign w:val="superscript"/>
          <w:lang w:val="en-US"/>
        </w:rPr>
        <w:t>38</w:t>
      </w:r>
      <w:r>
        <w:rPr>
          <w:rFonts w:ascii="Times New Roman" w:hAnsi="Times New Roman" w:cs="Times New Roman"/>
          <w:sz w:val="21"/>
          <w:szCs w:val="21"/>
          <w:lang w:val="en-US"/>
        </w:rPr>
        <w:t>. Reset-free DNA logic circuits, reported in 2026, add a complementary route for real-time input processing and memory, although they are logic circuits rather than full neural networks</w:t>
      </w:r>
      <w:r>
        <w:rPr>
          <w:rFonts w:ascii="Times New Roman" w:hAnsi="Times New Roman" w:cs="Times New Roman"/>
          <w:sz w:val="21"/>
          <w:szCs w:val="21"/>
          <w:vertAlign w:val="superscript"/>
          <w:lang w:val="en-US"/>
        </w:rPr>
        <w:t>39</w:t>
      </w:r>
      <w:r>
        <w:rPr>
          <w:rFonts w:ascii="Times New Roman" w:hAnsi="Times New Roman" w:cs="Times New Roman"/>
          <w:sz w:val="21"/>
          <w:szCs w:val="21"/>
          <w:lang w:val="en-US"/>
        </w:rPr>
        <w:t>.</w:t>
      </w:r>
    </w:p>
    <w:p w14:paraId="02122C72"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A balanced conclusion is selective optimism. Biomolecular systems are slow, noisy, crosstalk-prone and difficult to scale into many-layer networks. Yet they are uniquely suited to contexts in which inputs and outputs are molecular. In these settings, computation embedded in chemistry may be more relevant than digital speed.</w:t>
      </w:r>
    </w:p>
    <w:p w14:paraId="0E3FD59A" w14:textId="35EF1D42"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Table I summarizes the distinct computational roles and bottlenecks of these physical substrates. The comparison </w:t>
      </w:r>
      <w:r w:rsidR="00956E03" w:rsidRPr="00956E03">
        <w:rPr>
          <w:rFonts w:ascii="Times New Roman" w:hAnsi="Times New Roman" w:cs="Times New Roman"/>
          <w:sz w:val="21"/>
          <w:szCs w:val="21"/>
          <w:lang w:val="en-US"/>
        </w:rPr>
        <w:t>show</w:t>
      </w:r>
      <w:r>
        <w:rPr>
          <w:rFonts w:ascii="Times New Roman" w:hAnsi="Times New Roman" w:cs="Times New Roman"/>
          <w:sz w:val="21"/>
          <w:szCs w:val="21"/>
          <w:lang w:val="en-US"/>
        </w:rPr>
        <w:t xml:space="preserve">s why physical </w:t>
      </w:r>
      <w:r>
        <w:rPr>
          <w:rFonts w:ascii="Times New Roman" w:hAnsi="Times New Roman" w:cs="Times New Roman"/>
          <w:sz w:val="21"/>
          <w:szCs w:val="21"/>
          <w:lang w:val="en-US"/>
        </w:rPr>
        <w:t>implementation</w:t>
      </w:r>
      <w:r>
        <w:rPr>
          <w:rFonts w:ascii="Times New Roman" w:hAnsi="Times New Roman" w:cs="Times New Roman"/>
          <w:sz w:val="21"/>
          <w:szCs w:val="21"/>
          <w:lang w:val="en-US"/>
        </w:rPr>
        <w:t xml:space="preserve"> is not one technology. Each substrate answers a different version of the same question: which part of neural computation is naturally performed by this physical system, and under what complete energy, latency and reliability budget.</w:t>
      </w:r>
    </w:p>
    <w:p w14:paraId="41F233AA" w14:textId="77777777" w:rsidR="00F256B4" w:rsidRDefault="00000000">
      <w:pPr>
        <w:spacing w:after="120"/>
        <w:jc w:val="both"/>
        <w:rPr>
          <w:rFonts w:ascii="Times New Roman" w:hAnsi="Times New Roman" w:cs="Times New Roman"/>
          <w:sz w:val="32"/>
          <w:szCs w:val="32"/>
          <w:lang w:val="en-US"/>
        </w:rPr>
      </w:pPr>
      <w:r>
        <w:rPr>
          <w:rFonts w:ascii="Times New Roman" w:hAnsi="Times New Roman" w:cs="Times New Roman"/>
          <w:sz w:val="21"/>
          <w:szCs w:val="21"/>
          <w:lang w:val="en-US"/>
        </w:rPr>
        <w:t>TABLE I. Representative physical neural network substrates and current status.</w:t>
      </w:r>
    </w:p>
    <w:tbl>
      <w:tblPr>
        <w:tblStyle w:val="ae"/>
        <w:tblW w:w="5000" w:type="pct"/>
        <w:tblCellMar>
          <w:left w:w="0" w:type="dxa"/>
          <w:right w:w="0" w:type="dxa"/>
        </w:tblCellMar>
        <w:tblLook w:val="04A0" w:firstRow="1" w:lastRow="0" w:firstColumn="1" w:lastColumn="0" w:noHBand="0" w:noVBand="1"/>
        <w:tblCaption w:val="Comparative overview of physical substrate families"/>
        <w:tblDescription w:val="Summarizes, for optical, quantum, memristive and biomolecular substrates, the physical resource each uses, its computational role, representative demonstrations and the bottleneck that limits it."/>
      </w:tblPr>
      <w:tblGrid>
        <w:gridCol w:w="1129"/>
        <w:gridCol w:w="1984"/>
        <w:gridCol w:w="2035"/>
        <w:gridCol w:w="2081"/>
        <w:gridCol w:w="2121"/>
      </w:tblGrid>
      <w:tr w:rsidR="00F256B4" w14:paraId="5E378E3D" w14:textId="77777777">
        <w:tc>
          <w:tcPr>
            <w:tcW w:w="604" w:type="pct"/>
            <w:vAlign w:val="center"/>
          </w:tcPr>
          <w:p w14:paraId="03B4CC84"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Substrate</w:t>
            </w:r>
          </w:p>
        </w:tc>
        <w:tc>
          <w:tcPr>
            <w:tcW w:w="1061" w:type="pct"/>
            <w:vAlign w:val="center"/>
          </w:tcPr>
          <w:p w14:paraId="4A168991"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Native resource</w:t>
            </w:r>
          </w:p>
        </w:tc>
        <w:tc>
          <w:tcPr>
            <w:tcW w:w="1088" w:type="pct"/>
            <w:vAlign w:val="center"/>
          </w:tcPr>
          <w:p w14:paraId="5DA8608E"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Main promise</w:t>
            </w:r>
          </w:p>
        </w:tc>
        <w:tc>
          <w:tcPr>
            <w:tcW w:w="1113" w:type="pct"/>
            <w:vAlign w:val="center"/>
          </w:tcPr>
          <w:p w14:paraId="1F8D2278"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Current frontier</w:t>
            </w:r>
          </w:p>
        </w:tc>
        <w:tc>
          <w:tcPr>
            <w:tcW w:w="1134" w:type="pct"/>
            <w:vAlign w:val="center"/>
          </w:tcPr>
          <w:p w14:paraId="04702B3E"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Persistent bottlenecks</w:t>
            </w:r>
          </w:p>
        </w:tc>
      </w:tr>
      <w:tr w:rsidR="00F256B4" w:rsidRPr="00956E03" w14:paraId="68D97EE4" w14:textId="77777777">
        <w:tc>
          <w:tcPr>
            <w:tcW w:w="604" w:type="pct"/>
            <w:vAlign w:val="center"/>
          </w:tcPr>
          <w:p w14:paraId="14589427"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Optical and photonic</w:t>
            </w:r>
          </w:p>
        </w:tc>
        <w:tc>
          <w:tcPr>
            <w:tcW w:w="1061" w:type="pct"/>
            <w:vAlign w:val="center"/>
          </w:tcPr>
          <w:p w14:paraId="2538556A"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Diffraction, interference, modulation, photodetection</w:t>
            </w:r>
          </w:p>
        </w:tc>
        <w:tc>
          <w:tcPr>
            <w:tcW w:w="1088" w:type="pct"/>
            <w:vAlign w:val="center"/>
          </w:tcPr>
          <w:p w14:paraId="7D3194A7"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High-bandwidth linear transforms and signal-native inference</w:t>
            </w:r>
          </w:p>
        </w:tc>
        <w:tc>
          <w:tcPr>
            <w:tcW w:w="1113" w:type="pct"/>
            <w:vAlign w:val="center"/>
          </w:tcPr>
          <w:p w14:paraId="7220C001"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Physics-aware training and few-photon stochastic ONNs</w:t>
            </w:r>
            <w:r>
              <w:rPr>
                <w:rFonts w:ascii="Times New Roman" w:hAnsi="Times New Roman" w:cs="Times New Roman"/>
                <w:sz w:val="20"/>
                <w:szCs w:val="20"/>
                <w:vertAlign w:val="superscript"/>
                <w:lang w:val="en-US"/>
              </w:rPr>
              <w:t>14-17</w:t>
            </w:r>
          </w:p>
        </w:tc>
        <w:tc>
          <w:tcPr>
            <w:tcW w:w="1134" w:type="pct"/>
            <w:vAlign w:val="center"/>
          </w:tcPr>
          <w:p w14:paraId="6D72D16F"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Nonlinearity, calibration, memory, conversion overhead</w:t>
            </w:r>
          </w:p>
        </w:tc>
      </w:tr>
      <w:tr w:rsidR="00F256B4" w:rsidRPr="00956E03" w14:paraId="5F3A5D0B" w14:textId="77777777">
        <w:tc>
          <w:tcPr>
            <w:tcW w:w="604" w:type="pct"/>
            <w:vAlign w:val="center"/>
          </w:tcPr>
          <w:p w14:paraId="7AE5DC7F"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Quantum</w:t>
            </w:r>
          </w:p>
        </w:tc>
        <w:tc>
          <w:tcPr>
            <w:tcW w:w="1061" w:type="pct"/>
            <w:vAlign w:val="center"/>
          </w:tcPr>
          <w:p w14:paraId="5F48F503"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Hilbert-space encoding, entanglement, measurement</w:t>
            </w:r>
          </w:p>
        </w:tc>
        <w:tc>
          <w:tcPr>
            <w:tcW w:w="1088" w:type="pct"/>
            <w:vAlign w:val="center"/>
          </w:tcPr>
          <w:p w14:paraId="0CEC5E1E"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Quantum-native learning and quantum-state processing</w:t>
            </w:r>
          </w:p>
        </w:tc>
        <w:tc>
          <w:tcPr>
            <w:tcW w:w="1113" w:type="pct"/>
            <w:vAlign w:val="center"/>
          </w:tcPr>
          <w:p w14:paraId="62E35932" w14:textId="60018D0C"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 xml:space="preserve">Gaussian-process theory and </w:t>
            </w:r>
            <w:r>
              <w:rPr>
                <w:rFonts w:ascii="Times New Roman" w:hAnsi="Times New Roman" w:cs="Times New Roman"/>
                <w:sz w:val="20"/>
                <w:szCs w:val="20"/>
                <w:lang w:val="en-US"/>
              </w:rPr>
              <w:t xml:space="preserve">adaptive photonic </w:t>
            </w:r>
            <w:r>
              <w:rPr>
                <w:rFonts w:ascii="Times New Roman" w:hAnsi="Times New Roman" w:cs="Times New Roman"/>
                <w:sz w:val="20"/>
                <w:szCs w:val="20"/>
                <w:lang w:val="en-US"/>
              </w:rPr>
              <w:t>quantum convolutional neural networks</w:t>
            </w:r>
            <w:r>
              <w:rPr>
                <w:rStyle w:val="af2"/>
                <w:rFonts w:ascii="Times New Roman" w:hAnsi="Times New Roman" w:cs="Times New Roman"/>
                <w:sz w:val="20"/>
                <w:szCs w:val="20"/>
                <w:vertAlign w:val="superscript"/>
                <w:lang w:val="en-US"/>
              </w:rPr>
            </w:r>
            <w:r>
              <w:rPr>
                <w:rFonts w:ascii="Times New Roman" w:hAnsi="Times New Roman" w:cs="Times New Roman"/>
                <w:sz w:val="20"/>
                <w:szCs w:val="20"/>
                <w:vertAlign w:val="superscript"/>
                <w:lang w:val="en-US"/>
              </w:rPr>
              <w:t>24</w:t>
            </w:r>
            <w:r>
              <w:rPr>
                <w:rFonts w:ascii="Times New Roman" w:hAnsi="Times New Roman" w:cs="Times New Roman"/>
                <w:sz w:val="20"/>
                <w:szCs w:val="20"/>
                <w:vertAlign w:val="superscript"/>
                <w:lang w:val="en-US"/>
              </w:rPr>
              <w:t>-25</w:t>
            </w:r>
          </w:p>
        </w:tc>
        <w:tc>
          <w:tcPr>
            <w:tcW w:w="1134" w:type="pct"/>
            <w:vAlign w:val="center"/>
          </w:tcPr>
          <w:p w14:paraId="46E1CB20"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Noise, barren plateaus, readout cost, data loading</w:t>
            </w:r>
          </w:p>
        </w:tc>
      </w:tr>
      <w:tr w:rsidR="00F256B4" w:rsidRPr="00956E03" w14:paraId="56F43893" w14:textId="77777777">
        <w:tc>
          <w:tcPr>
            <w:tcW w:w="604" w:type="pct"/>
            <w:vAlign w:val="center"/>
          </w:tcPr>
          <w:p w14:paraId="5D1067B4"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Memristive</w:t>
            </w:r>
          </w:p>
        </w:tc>
        <w:tc>
          <w:tcPr>
            <w:tcW w:w="1061" w:type="pct"/>
            <w:vAlign w:val="center"/>
          </w:tcPr>
          <w:p w14:paraId="59675621"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Conductance memory and crossbar transport</w:t>
            </w:r>
          </w:p>
        </w:tc>
        <w:tc>
          <w:tcPr>
            <w:tcW w:w="1088" w:type="pct"/>
            <w:vAlign w:val="center"/>
          </w:tcPr>
          <w:p w14:paraId="6C6025D9"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In-memory analog computation and neuromorphic edge inference</w:t>
            </w:r>
          </w:p>
        </w:tc>
        <w:tc>
          <w:tcPr>
            <w:tcW w:w="1113" w:type="pct"/>
            <w:vAlign w:val="center"/>
          </w:tcPr>
          <w:p w14:paraId="3F98EB52"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Hardware CNNs and dynamical memristive learning systems</w:t>
            </w:r>
            <w:r>
              <w:rPr>
                <w:rFonts w:ascii="Times New Roman" w:hAnsi="Times New Roman" w:cs="Times New Roman"/>
                <w:sz w:val="20"/>
                <w:szCs w:val="20"/>
                <w:vertAlign w:val="superscript"/>
                <w:lang w:val="en-US"/>
              </w:rPr>
              <w:t>31-34</w:t>
            </w:r>
          </w:p>
        </w:tc>
        <w:tc>
          <w:tcPr>
            <w:tcW w:w="1134" w:type="pct"/>
            <w:vAlign w:val="center"/>
          </w:tcPr>
          <w:p w14:paraId="68887B6F"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Variability, endurance, update asymmetry, peripheral cost</w:t>
            </w:r>
          </w:p>
        </w:tc>
      </w:tr>
      <w:tr w:rsidR="00F256B4" w:rsidRPr="00956E03" w14:paraId="02CAF72F" w14:textId="77777777">
        <w:tc>
          <w:tcPr>
            <w:tcW w:w="604" w:type="pct"/>
            <w:vAlign w:val="center"/>
          </w:tcPr>
          <w:p w14:paraId="722B44C7"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Biomolecular</w:t>
            </w:r>
          </w:p>
        </w:tc>
        <w:tc>
          <w:tcPr>
            <w:tcW w:w="1061" w:type="pct"/>
            <w:vAlign w:val="center"/>
          </w:tcPr>
          <w:p w14:paraId="00FA7D49"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DNA and enzyme reaction networks</w:t>
            </w:r>
          </w:p>
        </w:tc>
        <w:tc>
          <w:tcPr>
            <w:tcW w:w="1088" w:type="pct"/>
            <w:vAlign w:val="center"/>
          </w:tcPr>
          <w:p w14:paraId="24A4F7B8"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Molecular decision-making in biochemical environments</w:t>
            </w:r>
          </w:p>
        </w:tc>
        <w:tc>
          <w:tcPr>
            <w:tcW w:w="1113" w:type="pct"/>
            <w:vAlign w:val="center"/>
          </w:tcPr>
          <w:p w14:paraId="67C00909"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Rewireable enzyme-powered networks and reset-free DNA logic</w:t>
            </w:r>
            <w:r>
              <w:rPr>
                <w:rFonts w:ascii="Times New Roman" w:hAnsi="Times New Roman" w:cs="Times New Roman"/>
                <w:sz w:val="20"/>
                <w:szCs w:val="20"/>
                <w:vertAlign w:val="superscript"/>
                <w:lang w:val="en-US"/>
              </w:rPr>
              <w:t>37-39</w:t>
            </w:r>
          </w:p>
        </w:tc>
        <w:tc>
          <w:tcPr>
            <w:tcW w:w="1134" w:type="pct"/>
            <w:vAlign w:val="center"/>
          </w:tcPr>
          <w:p w14:paraId="4D2796A4" w14:textId="77777777" w:rsidR="00F256B4" w:rsidRDefault="00000000">
            <w:pPr>
              <w:rPr>
                <w:rFonts w:ascii="Times New Roman" w:hAnsi="Times New Roman" w:cs="Times New Roman"/>
                <w:sz w:val="20"/>
                <w:szCs w:val="20"/>
                <w:lang w:val="en-US"/>
              </w:rPr>
            </w:pPr>
            <w:r>
              <w:rPr>
                <w:rFonts w:ascii="Times New Roman" w:hAnsi="Times New Roman" w:cs="Times New Roman"/>
                <w:sz w:val="20"/>
                <w:szCs w:val="20"/>
                <w:lang w:val="en-US"/>
              </w:rPr>
              <w:t>Slow kinetics, crosstalk, limited programmability</w:t>
            </w:r>
          </w:p>
        </w:tc>
      </w:tr>
    </w:tbl>
    <w:p w14:paraId="3F79853D" w14:textId="3AD94741"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Table II gives the corresponding quantitative comparison. Its most useful feature is </w:t>
      </w:r>
      <w:r>
        <w:rPr>
          <w:rFonts w:ascii="Times New Roman" w:hAnsi="Times New Roman" w:cs="Times New Roman"/>
          <w:sz w:val="21"/>
          <w:szCs w:val="21"/>
          <w:lang w:val="en-US"/>
        </w:rPr>
        <w:t xml:space="preserve">the </w:t>
      </w:r>
      <w:r>
        <w:rPr>
          <w:rFonts w:ascii="Times New Roman" w:hAnsi="Times New Roman" w:cs="Times New Roman"/>
          <w:sz w:val="21"/>
          <w:szCs w:val="21"/>
          <w:lang w:val="en-US"/>
        </w:rPr>
        <w:t>pattern across rows</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the substrates that operate in picoseconds do so by propagating fields over micrometer-to-centimeter distances, whereas the substrate that computes at molecular dimensions does so over minutes to hours, and no entry combines a nanometer-scale computing element with nanosecond operation: the memristive rows reach nanosecond operation at a micrometer cell pitch, the nanometer figures quoted for them being process nodes rather than element sizes. We report the representative range for each substrate as its own sources give it and do not combine those ranges into a unified speed–size relation, because the underlying demonstrations define an operation, a system boundary, a precision and a task differently. Because the entries are peak values measured within the computing array and </w:t>
      </w:r>
      <w:r w:rsidR="007B320B">
        <w:rPr>
          <w:rFonts w:ascii="Times New Roman" w:hAnsi="Times New Roman" w:cs="Times New Roman"/>
          <w:sz w:val="21"/>
          <w:szCs w:val="21"/>
          <w:lang w:val="en-US"/>
        </w:rPr>
        <w:t>the demonstrations do not share a common task, accuracy target or system boundary</w:t>
      </w:r>
      <w:r>
        <w:rPr>
          <w:rFonts w:ascii="Times New Roman" w:hAnsi="Times New Roman" w:cs="Times New Roman"/>
          <w:sz w:val="21"/>
          <w:szCs w:val="21"/>
          <w:lang w:val="en-US"/>
        </w:rPr>
        <w:t>, the table is a map of operating regimes and of the gaps in the evidence rather than a ranking of the four against one workload; on this reading the families are complementary in the problems they can reach rather than competitors for a single one.</w:t>
      </w:r>
    </w:p>
    <w:p w14:paraId="33F953B9" w14:textId="09824DA5"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These limits are not accidents of engineering. In each case the dominant limitation originates in the same physics that makes the substrate attractive. Weak optical nonlinearity follows from the weakness of photon–photon interaction in dielectric media, so a useful nonlinearity must be bought with intensity, interaction length or resonant enhancement, each of which trades against loss, bandwidth or footprint; and the transverse scale of an optical element cannot fall far below half a wavelength in the medium, so speed is won at the cost of density rather than alongside it. Memristive variability originates in the stochastic nucleation and growth of a conductive filament and in thermally activated ion migration, which are the same mechanisms that provide non-volatile analog storage, so it is intrinsic rather than a yield problem that better processing will remove</w:t>
      </w:r>
      <w:r>
        <w:rPr>
          <w:rFonts w:ascii="Times New Roman" w:hAnsi="Times New Roman" w:cs="Times New Roman"/>
          <w:sz w:val="21"/>
          <w:szCs w:val="21"/>
          <w:vertAlign w:val="superscript"/>
          <w:lang w:val="en-US"/>
        </w:rPr>
        <w:t>29,30</w:t>
      </w:r>
      <w:r>
        <w:rPr>
          <w:rFonts w:ascii="Times New Roman" w:hAnsi="Times New Roman" w:cs="Times New Roman"/>
          <w:sz w:val="21"/>
          <w:szCs w:val="21"/>
          <w:lang w:val="en-US"/>
        </w:rPr>
        <w:t xml:space="preserve">. Barren plateaus in variational circuits follow from concentration of measure on the unitary group, </w:t>
      </w:r>
      <w:r>
        <w:rPr>
          <w:rFonts w:ascii="Times New Roman" w:hAnsi="Times New Roman" w:cs="Times New Roman"/>
          <w:sz w:val="21"/>
          <w:szCs w:val="21"/>
          <w:lang w:val="en-US"/>
        </w:rPr>
        <w:t xml:space="preserve">so random, highly expressive variational circuits can enter barren-plateau regimes in which the gradient is exponentially small; structured ansätze, local cost functions and informed initialization can avoid or reduce this behavior, so the route out is to </w:t>
      </w:r>
      <w:r>
        <w:rPr>
          <w:rFonts w:ascii="Times New Roman" w:hAnsi="Times New Roman" w:cs="Times New Roman"/>
          <w:sz w:val="21"/>
          <w:szCs w:val="21"/>
          <w:lang w:val="en-US"/>
        </w:rPr>
        <w:lastRenderedPageBreak/>
        <w:t>leave the generic case rather than to improve the optimizer</w:t>
      </w:r>
      <w:r>
        <w:rPr>
          <w:rStyle w:val="af2"/>
          <w:rFonts w:ascii="Times New Roman" w:hAnsi="Times New Roman" w:cs="Times New Roman"/>
          <w:sz w:val="21"/>
          <w:szCs w:val="21"/>
          <w:vertAlign w:val="superscript"/>
          <w:lang w:val="en-US"/>
        </w:rPr>
      </w:r>
      <w:r>
        <w:rPr>
          <w:rFonts w:ascii="Times New Roman" w:hAnsi="Times New Roman" w:cs="Times New Roman"/>
          <w:sz w:val="21"/>
          <w:szCs w:val="21"/>
          <w:vertAlign w:val="superscript"/>
          <w:lang w:val="en-US"/>
        </w:rPr>
        <w:t>26</w:t>
      </w:r>
      <w:r>
        <w:rPr>
          <w:rFonts w:ascii="Times New Roman" w:hAnsi="Times New Roman" w:cs="Times New Roman"/>
          <w:sz w:val="21"/>
          <w:szCs w:val="21"/>
          <w:lang w:val="en-US"/>
        </w:rPr>
        <w:t>. Biomolecular speed is bounded by reaction kinetics and concentration, and cascade depth multiplies the layer time while crosstalk grows with the number of species, so speed and depth cannot both be improved by design. This separation matters for reading Table II: the diffraction-limited footprint, the weakness of optical nonlinearity, concentration of measure in Hilbert space and diffusion-limited kinetics can be designed around but not removed, whereas conversion overhead, peripheral energy, calibration and the cost of the digital twin can, and on the evidence of the table it is the second group that currently decides system-level energy and latency.</w:t>
      </w:r>
    </w:p>
    <w:p w14:paraId="7F0DB386" w14:textId="436735E6" w:rsidR="00F256B4" w:rsidRDefault="00000000">
      <w:pPr>
        <w:spacing w:after="120"/>
        <w:jc w:val="both"/>
        <w:rPr>
          <w:rFonts w:ascii="Times New Roman" w:hAnsi="Times New Roman" w:cs="Times New Roman"/>
          <w:sz w:val="32"/>
          <w:szCs w:val="32"/>
          <w:lang w:val="en-US"/>
        </w:rPr>
      </w:pPr>
      <w:r>
        <w:rPr>
          <w:rFonts w:ascii="Times New Roman" w:hAnsi="Times New Roman" w:cs="Times New Roman"/>
          <w:sz w:val="21"/>
          <w:szCs w:val="21"/>
          <w:lang w:val="en-US"/>
        </w:rPr>
        <w:t xml:space="preserve">TABLE II. Comparative metrics for the four substrate families. Values are order-of-magnitude figures taken from the demonstrations cited. Energy efficiencies are peak values reported at full array utilization and exclude off-chip data movement and buffering and, where applicable, laser and cryogenic overhead; reported values in tera-operations per second (TOPS) use the </w:t>
      </w:r>
      <w:r>
        <w:rPr>
          <w:rFonts w:ascii="Times New Roman" w:hAnsi="Times New Roman" w:cs="Times New Roman"/>
          <w:sz w:val="21"/>
          <w:szCs w:val="21"/>
          <w:lang w:val="en-US"/>
        </w:rPr>
        <w:t>operation counts</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and system boundaries of their own sources and have not been converted to a common convention, so they should not be read as a direct comparison. Integration densities are quoted within the computing array rather than at chip level, and each entry states whether laser sources, control electronics, data conversion or cryogenic overhead are included. </w:t>
      </w:r>
      <w:r w:rsidR="007B320B">
        <w:rPr>
          <w:rFonts w:ascii="Times New Roman" w:hAnsi="Times New Roman" w:cs="Times New Roman"/>
          <w:sz w:val="21"/>
          <w:szCs w:val="21"/>
          <w:lang w:val="en-US"/>
        </w:rPr>
        <w:t>The entries do not share a common task, accuracy target or system boundary, so Table II does not provide a controlled cross-platform comparison</w:t>
      </w:r>
      <w:r>
        <w:rPr>
          <w:rFonts w:ascii="Times New Roman" w:hAnsi="Times New Roman" w:cs="Times New Roman"/>
          <w:sz w:val="21"/>
          <w:szCs w:val="21"/>
          <w:lang w:val="en-US"/>
        </w:rPr>
        <w:t>, and where a metric has no defensible value for a substrate the entry states the reason.</w:t>
      </w:r>
    </w:p>
    <w:tbl>
      <w:tblPr>
        <w:tblStyle w:val="ae"/>
        <w:tblW w:w="5000" w:type="pct"/>
        <w:tblCellMar>
          <w:left w:w="0" w:type="dxa"/>
          <w:right w:w="0" w:type="dxa"/>
        </w:tblCellMar>
        <w:tblLook w:val="04A0" w:firstRow="1" w:lastRow="0" w:firstColumn="1" w:lastColumn="0" w:noHBand="0" w:noVBand="1"/>
        <w:tblCaption w:val="Quantitative comparison of physical substrate families"/>
        <w:tblDescription w:val="Gives order-of-magnitude values for operation time, energy efficiency, feature scale and density, precision, demonstrated scale and training overhead across the four substrates, showing that none is both nanometer-scale and nanosecond-fast."/>
      </w:tblPr>
      <w:tblGrid>
        <w:gridCol w:w="1099"/>
        <w:gridCol w:w="1298"/>
        <w:gridCol w:w="1399"/>
        <w:gridCol w:w="1498"/>
        <w:gridCol w:w="1249"/>
        <w:gridCol w:w="1498"/>
        <w:gridCol w:w="1309"/>
      </w:tblGrid>
      <w:tr w:rsidR="00F256B4" w14:paraId="40586D96" w14:textId="77777777">
        <w:trPr/>
        <w:tc>
          <w:tcPr>
            <w:tcW w:w="588" w:type="pct"/>
            <w:vAlign w:val="center"/>
          </w:tcPr>
          <w:p w14:paraId="4BAD1B48"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Substrate</w:t>
            </w:r>
          </w:p>
        </w:tc>
        <w:tc>
          <w:tcPr>
            <w:tcW w:w="694" w:type="pct"/>
            <w:vAlign w:val="center"/>
          </w:tcPr>
          <w:p w14:paraId="4AFC7FE2"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Operation time</w:t>
            </w:r>
          </w:p>
        </w:tc>
        <w:tc>
          <w:tcPr>
            <w:tcW w:w="748" w:type="pct"/>
            <w:vAlign w:val="center"/>
          </w:tcPr>
          <w:p w14:paraId="53C2DC10"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Energy efficiency</w:t>
            </w:r>
          </w:p>
        </w:tc>
        <w:tc>
          <w:tcPr>
            <w:tcW w:w="801" w:type="pct"/>
            <w:vAlign w:val="center"/>
          </w:tcPr>
          <w:p w14:paraId="75813F48"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Feature scale and integration density</w:t>
            </w:r>
          </w:p>
        </w:tc>
        <w:tc>
          <w:tcPr>
            <w:tcW w:w="668" w:type="pct"/>
            <w:vAlign w:val="center"/>
          </w:tcPr>
          <w:p w14:paraId="7A659574"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Effective precision</w:t>
            </w:r>
          </w:p>
        </w:tc>
        <w:tc>
          <w:tcPr>
            <w:tcW w:w="801" w:type="pct"/>
            <w:vAlign w:val="center"/>
          </w:tcPr>
          <w:p w14:paraId="26237D5A"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Demonstrated scale and maturity</w:t>
            </w:r>
          </w:p>
        </w:tc>
        <w:tc>
          <w:tcPr>
            <w:tcW w:w="700" w:type="pct"/>
            <w:vAlign w:val="center"/>
          </w:tcPr>
          <w:p w14:paraId="3A8CA310"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Training and conversion overhead</w:t>
            </w:r>
          </w:p>
        </w:tc>
      </w:tr>
      <w:tr w:rsidR="00F256B4" w:rsidRPr="00956E03" w14:paraId="6D3717CD" w14:textId="77777777">
        <w:trPr/>
        <w:tc>
          <w:tcPr>
            <w:tcW w:w="588" w:type="pct"/>
            <w:vAlign w:val="center"/>
          </w:tcPr>
          <w:p w14:paraId="1B70E5FE"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Optical and photonic</w:t>
            </w:r>
          </w:p>
        </w:tc>
        <w:tc>
          <w:tcPr>
            <w:tcW w:w="694" w:type="pct"/>
            <w:vAlign w:val="center"/>
          </w:tcPr>
          <w:p w14:paraId="5533F439"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10 ps–1 ns per linear transform in propagation; set in practice by 10–60 GHz modulation and detection</w:t>
            </w:r>
            <w:r w:rsidRPr="003B6706">
              <w:rPr>
                <w:rFonts w:ascii="Times New Roman" w:hAnsi="Times New Roman" w:cs="Times New Roman"/>
                <w:sz w:val="18"/>
                <w:szCs w:val="18"/>
                <w:vertAlign w:val="superscript"/>
                <w:lang w:val="en-US"/>
              </w:rPr>
              <w:t>13</w:t>
            </w:r>
          </w:p>
        </w:tc>
        <w:tc>
          <w:tcPr>
            <w:tcW w:w="748" w:type="pct"/>
            <w:vAlign w:val="center"/>
          </w:tcPr>
          <w:p w14:paraId="452D1C54" w14:textId="328B9985"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0.5–6.7 TOPS W</w:t>
            </w:r>
            <w:r w:rsidRPr="003B6706">
              <w:rPr>
                <w:rFonts w:ascii="Times New Roman" w:hAnsi="Times New Roman" w:cs="Times New Roman"/>
                <w:sz w:val="18"/>
                <w:szCs w:val="18"/>
                <w:vertAlign w:val="superscript"/>
                <w:lang w:val="en-US"/>
              </w:rPr>
              <w:t>−1</w:t>
            </w:r>
            <w:r w:rsidRPr="003B6706">
              <w:rPr>
                <w:rFonts w:ascii="Times New Roman" w:hAnsi="Times New Roman" w:cs="Times New Roman"/>
                <w:sz w:val="18"/>
                <w:szCs w:val="18"/>
                <w:lang w:val="en-US"/>
              </w:rPr>
              <w:t xml:space="preserve"> for interferometric and phase-change systems; </w:t>
            </w:r>
            <w:r>
              <w:rPr>
                <w:rFonts w:ascii="Times New Roman" w:hAnsi="Times New Roman" w:cs="Times New Roman"/>
                <w:sz w:val="18"/>
                <w:szCs w:val="18"/>
                <w:lang w:val="en-US"/>
              </w:rPr>
              <w:t>160 TOPS W</w:t>
            </w:r>
            <w:r w:rsidRPr="003B6706">
              <w:rPr>
                <w:rFonts w:ascii="Times New Roman" w:hAnsi="Times New Roman" w:cs="Times New Roman"/>
                <w:sz w:val="18"/>
                <w:szCs w:val="18"/>
                <w:vertAlign w:val="superscript"/>
                <w:lang w:val="en-US"/>
              </w:rPr>
              <w:t>−1</w:t>
            </w:r>
            <w:r w:rsidRPr="003B6706">
              <w:rPr>
                <w:rStyle w:val="af2"/>
                <w:rFonts w:ascii="Times New Roman" w:hAnsi="Times New Roman" w:cs="Times New Roman"/>
                <w:sz w:val="18"/>
                <w:szCs w:val="18"/>
                <w:lang w:val="en-US"/>
              </w:rPr>
            </w:r>
            <w:r w:rsidRPr="003B6706">
              <w:rPr>
                <w:rFonts w:ascii="Times New Roman" w:hAnsi="Times New Roman" w:cs="Times New Roman"/>
                <w:sz w:val="18"/>
                <w:szCs w:val="18"/>
                <w:lang w:val="en-US"/>
              </w:rPr>
              <w:t xml:space="preserve"> for the best reported photonic chiplet</w:t>
            </w:r>
            <w:r>
              <w:rPr>
                <w:rFonts w:ascii="Times New Roman" w:hAnsi="Times New Roman" w:cs="Times New Roman"/>
                <w:sz w:val="18"/>
                <w:szCs w:val="18"/>
                <w:vertAlign w:val="superscript"/>
                <w:lang w:val="en-US"/>
              </w:rPr>
              <w:t>13,67</w:t>
            </w:r>
          </w:p>
        </w:tc>
        <w:tc>
          <w:tcPr>
            <w:tcW w:w="801" w:type="pct"/>
            <w:vAlign w:val="center"/>
          </w:tcPr>
          <w:p w14:paraId="6EA49263"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 xml:space="preserve">0.4 µm pitch for diffractive metasurfaces to tens of µm for interferometer meshes; up to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10</w:t>
            </w:r>
            <w:r w:rsidRPr="003B6706">
              <w:rPr>
                <w:rFonts w:ascii="Times New Roman" w:hAnsi="Times New Roman" w:cs="Times New Roman"/>
                <w:sz w:val="18"/>
                <w:szCs w:val="18"/>
                <w:vertAlign w:val="superscript"/>
                <w:lang w:val="en-US"/>
              </w:rPr>
              <w:t>6</w:t>
            </w:r>
            <w:r w:rsidRPr="003B6706">
              <w:rPr>
                <w:rFonts w:ascii="Times New Roman" w:hAnsi="Times New Roman" w:cs="Times New Roman"/>
                <w:sz w:val="18"/>
                <w:szCs w:val="18"/>
                <w:lang w:val="en-US"/>
              </w:rPr>
              <w:t xml:space="preserve"> diffractive units mm</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(ref. 13)</w:t>
            </w:r>
          </w:p>
        </w:tc>
        <w:tc>
          <w:tcPr>
            <w:tcW w:w="668" w:type="pct"/>
            <w:vAlign w:val="center"/>
          </w:tcPr>
          <w:p w14:paraId="3A90D1EE"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4–8 bits typical; beyond 9 bits for microring synapses</w:t>
            </w:r>
            <w:r w:rsidRPr="003B6706">
              <w:rPr>
                <w:rFonts w:ascii="Times New Roman" w:hAnsi="Times New Roman" w:cs="Times New Roman"/>
                <w:sz w:val="18"/>
                <w:szCs w:val="18"/>
                <w:vertAlign w:val="superscript"/>
                <w:lang w:val="en-US"/>
              </w:rPr>
              <w:t>13</w:t>
            </w:r>
          </w:p>
        </w:tc>
        <w:tc>
          <w:tcPr>
            <w:tcW w:w="801" w:type="pct"/>
            <w:vAlign w:val="center"/>
          </w:tcPr>
          <w:p w14:paraId="60D27BF0"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10</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–10</w:t>
            </w:r>
            <w:r w:rsidRPr="003B6706">
              <w:rPr>
                <w:rFonts w:ascii="Times New Roman" w:hAnsi="Times New Roman" w:cs="Times New Roman"/>
                <w:sz w:val="18"/>
                <w:szCs w:val="18"/>
                <w:vertAlign w:val="superscript"/>
                <w:lang w:val="en-US"/>
              </w:rPr>
              <w:t>3</w:t>
            </w:r>
            <w:r w:rsidRPr="003B6706">
              <w:rPr>
                <w:rFonts w:ascii="Times New Roman" w:hAnsi="Times New Roman" w:cs="Times New Roman"/>
                <w:sz w:val="18"/>
                <w:szCs w:val="18"/>
                <w:lang w:val="en-US"/>
              </w:rPr>
              <w:t xml:space="preserve"> weights in laboratory demonstrations, with early commercial accelerators</w:t>
            </w:r>
            <w:r w:rsidRPr="003B6706">
              <w:rPr>
                <w:rFonts w:ascii="Times New Roman" w:hAnsi="Times New Roman" w:cs="Times New Roman"/>
                <w:sz w:val="18"/>
                <w:szCs w:val="18"/>
                <w:vertAlign w:val="superscript"/>
                <w:lang w:val="en-US"/>
              </w:rPr>
              <w:t>13</w:t>
            </w:r>
          </w:p>
        </w:tc>
        <w:tc>
          <w:tcPr>
            <w:tcW w:w="700" w:type="pct"/>
            <w:vAlign w:val="center"/>
          </w:tcPr>
          <w:p w14:paraId="05E99649"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In-situ backpropagation and fully forward training demonstrated</w:t>
            </w:r>
            <w:r w:rsidRPr="003B6706">
              <w:rPr>
                <w:rFonts w:ascii="Times New Roman" w:hAnsi="Times New Roman" w:cs="Times New Roman"/>
                <w:sz w:val="18"/>
                <w:szCs w:val="18"/>
                <w:vertAlign w:val="superscript"/>
                <w:lang w:val="en-US"/>
              </w:rPr>
              <w:t>16</w:t>
            </w:r>
            <w:r w:rsidRPr="003B6706">
              <w:rPr>
                <w:rFonts w:ascii="Times New Roman" w:hAnsi="Times New Roman" w:cs="Times New Roman"/>
                <w:sz w:val="18"/>
                <w:szCs w:val="18"/>
                <w:lang w:val="en-US"/>
              </w:rPr>
              <w:t>; electro-optic and opto-electronic conversion often dominates system energy</w:t>
            </w:r>
          </w:p>
        </w:tc>
      </w:tr>
      <w:tr w:rsidR="00F256B4" w:rsidRPr="00956E03" w14:paraId="2C197C33" w14:textId="77777777">
        <w:trPr/>
        <w:tc>
          <w:tcPr>
            <w:tcW w:w="588" w:type="pct"/>
            <w:vAlign w:val="center"/>
          </w:tcPr>
          <w:p w14:paraId="759916E5"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Quantum</w:t>
            </w:r>
          </w:p>
        </w:tc>
        <w:tc>
          <w:tcPr>
            <w:tcW w:w="694" w:type="pct"/>
            <w:vAlign w:val="center"/>
          </w:tcPr>
          <w:p w14:paraId="0D103FF6"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Platform-dependent, nanoseconds to microseconds per gate</w:t>
            </w:r>
          </w:p>
        </w:tc>
        <w:tc>
          <w:tcPr>
            <w:tcW w:w="748" w:type="pct"/>
            <w:vAlign w:val="center"/>
          </w:tcPr>
          <w:p w14:paraId="43728214"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Not meaningful per gate; dominated by the cryogenic or trapping plant</w:t>
            </w:r>
          </w:p>
        </w:tc>
        <w:tc>
          <w:tcPr>
            <w:tcW w:w="801" w:type="pct"/>
            <w:vAlign w:val="center"/>
          </w:tcPr>
          <w:p w14:paraId="1AF51E92"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Tens of µm per qubit; cryostat-scale system</w:t>
            </w:r>
          </w:p>
        </w:tc>
        <w:tc>
          <w:tcPr>
            <w:tcW w:w="668" w:type="pct"/>
            <w:vAlign w:val="center"/>
          </w:tcPr>
          <w:p w14:paraId="48A290B2"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Set by shot noise rather than by a fixed bit depth</w:t>
            </w:r>
          </w:p>
        </w:tc>
        <w:tc>
          <w:tcPr>
            <w:tcW w:w="801" w:type="pct"/>
            <w:vAlign w:val="center"/>
          </w:tcPr>
          <w:p w14:paraId="1F95C559"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10–10</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qubits; noisy intermediate-scale quantum prototypes</w:t>
            </w:r>
          </w:p>
        </w:tc>
        <w:tc>
          <w:tcPr>
            <w:tcW w:w="700" w:type="pct"/>
            <w:vAlign w:val="center"/>
          </w:tcPr>
          <w:p w14:paraId="4FC0A226"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Variational optimization by parameter-shift gradients; state preparation and repeated measurement set the shot budget</w:t>
            </w:r>
          </w:p>
        </w:tc>
      </w:tr>
      <w:tr w:rsidR="00F256B4" w:rsidRPr="00956E03" w14:paraId="184B41EA" w14:textId="77777777">
        <w:trPr/>
        <w:tc>
          <w:tcPr>
            <w:tcW w:w="588" w:type="pct"/>
            <w:vAlign w:val="center"/>
          </w:tcPr>
          <w:p w14:paraId="68BE75AF"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Memristive</w:t>
            </w:r>
          </w:p>
        </w:tc>
        <w:tc>
          <w:tcPr>
            <w:tcW w:w="694" w:type="pct"/>
            <w:vAlign w:val="center"/>
          </w:tcPr>
          <w:p w14:paraId="6DB5AD83" w14:textId="698B9889"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0.1–10 µs per 256 × 256 matrix–vector multiplication</w:t>
            </w:r>
            <w:r w:rsidRPr="003B6706">
              <w:rPr>
                <w:rFonts w:ascii="Times New Roman" w:hAnsi="Times New Roman" w:cs="Times New Roman"/>
                <w:sz w:val="18"/>
                <w:szCs w:val="18"/>
                <w:vertAlign w:val="superscript"/>
                <w:lang w:val="en-US"/>
              </w:rPr>
              <w:t>32</w:t>
            </w:r>
            <w:r w:rsidRPr="003B6706">
              <w:rPr>
                <w:rFonts w:ascii="Times New Roman" w:hAnsi="Times New Roman" w:cs="Times New Roman"/>
                <w:sz w:val="18"/>
                <w:szCs w:val="18"/>
                <w:lang w:val="en-US"/>
              </w:rPr>
              <w:t>; 133–520 ns at 14 nm</w:t>
            </w:r>
            <w:r w:rsidRPr="003B6706">
              <w:rPr>
                <w:rFonts w:ascii="Times New Roman" w:hAnsi="Times New Roman" w:cs="Times New Roman"/>
                <w:sz w:val="18"/>
                <w:szCs w:val="18"/>
                <w:vertAlign w:val="superscript"/>
                <w:lang w:val="en-US"/>
              </w:rPr>
              <w:t>33</w:t>
            </w:r>
            <w:r w:rsidRPr="003B6706">
              <w:rPr>
                <w:rFonts w:ascii="Times New Roman" w:hAnsi="Times New Roman" w:cs="Times New Roman"/>
                <w:sz w:val="18"/>
                <w:szCs w:val="18"/>
                <w:lang w:val="en-US"/>
              </w:rPr>
              <w:t>; 60–120 ns for a single analog solve</w:t>
            </w:r>
            <w:r w:rsidRPr="003B6706">
              <w:rPr>
                <w:rFonts w:ascii="Times New Roman" w:hAnsi="Times New Roman" w:cs="Times New Roman"/>
                <w:sz w:val="18"/>
                <w:szCs w:val="18"/>
                <w:vertAlign w:val="superscript"/>
                <w:lang w:val="en-US"/>
              </w:rPr>
              <w:t>68</w:t>
            </w:r>
          </w:p>
        </w:tc>
        <w:tc>
          <w:tcPr>
            <w:tcW w:w="748" w:type="pct"/>
            <w:vAlign w:val="center"/>
          </w:tcPr>
          <w:p w14:paraId="6DCE6CDA"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7–43 TOPS W</w:t>
            </w:r>
            <w:r w:rsidRPr="003B6706">
              <w:rPr>
                <w:rFonts w:ascii="Times New Roman" w:hAnsi="Times New Roman" w:cs="Times New Roman"/>
                <w:sz w:val="18"/>
                <w:szCs w:val="18"/>
                <w:vertAlign w:val="superscript"/>
                <w:lang w:val="en-US"/>
              </w:rPr>
              <w:t>−1</w:t>
            </w:r>
            <w:r w:rsidRPr="003B6706">
              <w:rPr>
                <w:rFonts w:ascii="Times New Roman" w:hAnsi="Times New Roman" w:cs="Times New Roman"/>
                <w:sz w:val="18"/>
                <w:szCs w:val="18"/>
                <w:lang w:val="en-US"/>
              </w:rPr>
              <w:t xml:space="preserve"> at 130 nm</w:t>
            </w:r>
            <w:r w:rsidRPr="003B6706">
              <w:rPr>
                <w:rFonts w:ascii="Times New Roman" w:hAnsi="Times New Roman" w:cs="Times New Roman"/>
                <w:sz w:val="18"/>
                <w:szCs w:val="18"/>
                <w:vertAlign w:val="superscript"/>
                <w:lang w:val="en-US"/>
              </w:rPr>
              <w:t>32</w:t>
            </w:r>
            <w:r w:rsidRPr="003B6706">
              <w:rPr>
                <w:rFonts w:ascii="Times New Roman" w:hAnsi="Times New Roman" w:cs="Times New Roman"/>
                <w:sz w:val="18"/>
                <w:szCs w:val="18"/>
                <w:lang w:val="en-US"/>
              </w:rPr>
              <w:t>; 2.5–9.8 TOPS W</w:t>
            </w:r>
            <w:r w:rsidRPr="003B6706">
              <w:rPr>
                <w:rFonts w:ascii="Times New Roman" w:hAnsi="Times New Roman" w:cs="Times New Roman"/>
                <w:sz w:val="18"/>
                <w:szCs w:val="18"/>
                <w:vertAlign w:val="superscript"/>
                <w:lang w:val="en-US"/>
              </w:rPr>
              <w:t>−1</w:t>
            </w:r>
            <w:r w:rsidRPr="003B6706">
              <w:rPr>
                <w:rFonts w:ascii="Times New Roman" w:hAnsi="Times New Roman" w:cs="Times New Roman"/>
                <w:sz w:val="18"/>
                <w:szCs w:val="18"/>
                <w:lang w:val="en-US"/>
              </w:rPr>
              <w:t xml:space="preserve"> at 14 nm</w:t>
            </w:r>
            <w:r w:rsidRPr="003B6706">
              <w:rPr>
                <w:rFonts w:ascii="Times New Roman" w:hAnsi="Times New Roman" w:cs="Times New Roman"/>
                <w:sz w:val="18"/>
                <w:szCs w:val="18"/>
                <w:vertAlign w:val="superscript"/>
                <w:lang w:val="en-US"/>
              </w:rPr>
              <w:t>33</w:t>
            </w:r>
          </w:p>
        </w:tc>
        <w:tc>
          <w:tcPr>
            <w:tcW w:w="801" w:type="pct"/>
            <w:vAlign w:val="center"/>
          </w:tcPr>
          <w:p w14:paraId="2332E78D" w14:textId="63F6B033"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1.7 µm</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cell area at the 130 nm node</w:t>
            </w:r>
            <w:r w:rsidRPr="003B6706">
              <w:rPr>
                <w:rFonts w:ascii="Times New Roman" w:hAnsi="Times New Roman" w:cs="Times New Roman"/>
                <w:sz w:val="18"/>
                <w:szCs w:val="18"/>
                <w:vertAlign w:val="superscript"/>
                <w:lang w:val="en-US"/>
              </w:rPr>
              <w:t>32</w:t>
            </w:r>
            <w:r w:rsidRPr="003B6706">
              <w:rPr>
                <w:rFonts w:ascii="Times New Roman" w:hAnsi="Times New Roman" w:cs="Times New Roman"/>
                <w:sz w:val="18"/>
                <w:szCs w:val="18"/>
                <w:lang w:val="en-US"/>
              </w:rPr>
              <w:t>, 4.1 µm</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per four-device cell at the 14 nm node</w:t>
            </w:r>
            <w:r w:rsidRPr="003B6706">
              <w:rPr>
                <w:rFonts w:ascii="Times New Roman" w:hAnsi="Times New Roman" w:cs="Times New Roman"/>
                <w:sz w:val="18"/>
                <w:szCs w:val="18"/>
                <w:vertAlign w:val="superscript"/>
                <w:lang w:val="en-US"/>
              </w:rPr>
              <w:t>33</w:t>
            </w:r>
            <w:r w:rsidRPr="003B6706">
              <w:rPr>
                <w:rFonts w:ascii="Times New Roman" w:hAnsi="Times New Roman" w:cs="Times New Roman"/>
                <w:sz w:val="18"/>
                <w:szCs w:val="18"/>
                <w:lang w:val="en-US"/>
              </w:rPr>
              <w:t xml:space="preserve">;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10</w:t>
            </w:r>
            <w:r w:rsidRPr="003B6706">
              <w:rPr>
                <w:rFonts w:ascii="Times New Roman" w:hAnsi="Times New Roman" w:cs="Times New Roman"/>
                <w:sz w:val="18"/>
                <w:szCs w:val="18"/>
                <w:vertAlign w:val="superscript"/>
                <w:lang w:val="en-US"/>
              </w:rPr>
              <w:t>5</w:t>
            </w:r>
            <w:r w:rsidRPr="003B6706">
              <w:rPr>
                <w:rFonts w:ascii="Times New Roman" w:hAnsi="Times New Roman" w:cs="Times New Roman"/>
                <w:sz w:val="18"/>
                <w:szCs w:val="18"/>
                <w:lang w:val="en-US"/>
              </w:rPr>
              <w:t>–10</w:t>
            </w:r>
            <w:r w:rsidRPr="003B6706">
              <w:rPr>
                <w:rFonts w:ascii="Times New Roman" w:hAnsi="Times New Roman" w:cs="Times New Roman"/>
                <w:sz w:val="18"/>
                <w:szCs w:val="18"/>
                <w:vertAlign w:val="superscript"/>
                <w:lang w:val="en-US"/>
              </w:rPr>
              <w:t>6</w:t>
            </w:r>
            <w:r w:rsidRPr="003B6706">
              <w:rPr>
                <w:rFonts w:ascii="Times New Roman" w:hAnsi="Times New Roman" w:cs="Times New Roman"/>
                <w:sz w:val="18"/>
                <w:szCs w:val="18"/>
                <w:lang w:val="en-US"/>
              </w:rPr>
              <w:t xml:space="preserve"> devices mm</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within the array, so the cell pitch remains micrometer-scale even at a nanometer process node</w:t>
            </w:r>
          </w:p>
        </w:tc>
        <w:tc>
          <w:tcPr>
            <w:tcW w:w="668" w:type="pct"/>
            <w:vAlign w:val="center"/>
          </w:tcPr>
          <w:p w14:paraId="72E9C58A" w14:textId="09D2726B"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3</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4 bits per device after drift</w:t>
            </w:r>
            <w:r w:rsidRPr="003B6706">
              <w:rPr>
                <w:rFonts w:ascii="Times New Roman" w:hAnsi="Times New Roman" w:cs="Times New Roman"/>
                <w:sz w:val="18"/>
                <w:szCs w:val="18"/>
                <w:vertAlign w:val="superscript"/>
                <w:lang w:val="en-US"/>
              </w:rPr>
              <w:t>32,33</w:t>
            </w:r>
            <w:r w:rsidRPr="003B6706">
              <w:rPr>
                <w:rFonts w:ascii="Times New Roman" w:hAnsi="Times New Roman" w:cs="Times New Roman"/>
                <w:sz w:val="18"/>
                <w:szCs w:val="18"/>
                <w:lang w:val="en-US"/>
              </w:rPr>
              <w:t>; 24-bit fixed point reached by algorithmic refinement</w:t>
            </w:r>
            <w:r w:rsidRPr="003B6706">
              <w:rPr>
                <w:rFonts w:ascii="Times New Roman" w:hAnsi="Times New Roman" w:cs="Times New Roman"/>
                <w:sz w:val="18"/>
                <w:szCs w:val="18"/>
                <w:vertAlign w:val="superscript"/>
                <w:lang w:val="en-US"/>
              </w:rPr>
              <w:t>68</w:t>
            </w:r>
          </w:p>
        </w:tc>
        <w:tc>
          <w:tcPr>
            <w:tcW w:w="801" w:type="pct"/>
            <w:vAlign w:val="center"/>
          </w:tcPr>
          <w:p w14:paraId="0D4C3D9D"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3 × 10</w:t>
            </w:r>
            <w:r w:rsidRPr="003B6706">
              <w:rPr>
                <w:rFonts w:ascii="Times New Roman" w:hAnsi="Times New Roman" w:cs="Times New Roman"/>
                <w:sz w:val="18"/>
                <w:szCs w:val="18"/>
                <w:vertAlign w:val="superscript"/>
                <w:lang w:val="en-US"/>
              </w:rPr>
              <w:t>6</w:t>
            </w:r>
            <w:r w:rsidRPr="003B6706">
              <w:rPr>
                <w:rFonts w:ascii="Times New Roman" w:hAnsi="Times New Roman" w:cs="Times New Roman"/>
                <w:sz w:val="18"/>
                <w:szCs w:val="18"/>
                <w:lang w:val="en-US"/>
              </w:rPr>
              <w:t xml:space="preserve"> devices on 48 cores at 130 nm</w:t>
            </w:r>
            <w:r w:rsidRPr="003B6706">
              <w:rPr>
                <w:rFonts w:ascii="Times New Roman" w:hAnsi="Times New Roman" w:cs="Times New Roman"/>
                <w:sz w:val="18"/>
                <w:szCs w:val="18"/>
                <w:vertAlign w:val="superscript"/>
                <w:lang w:val="en-US"/>
              </w:rPr>
              <w:t>32</w:t>
            </w:r>
            <w:r w:rsidRPr="003B6706">
              <w:rPr>
                <w:rFonts w:ascii="Times New Roman" w:hAnsi="Times New Roman" w:cs="Times New Roman"/>
                <w:sz w:val="18"/>
                <w:szCs w:val="18"/>
                <w:lang w:val="en-US"/>
              </w:rPr>
              <w:t>; 4.2 × 10</w:t>
            </w:r>
            <w:r w:rsidRPr="003B6706">
              <w:rPr>
                <w:rFonts w:ascii="Times New Roman" w:hAnsi="Times New Roman" w:cs="Times New Roman"/>
                <w:sz w:val="18"/>
                <w:szCs w:val="18"/>
                <w:vertAlign w:val="superscript"/>
                <w:lang w:val="en-US"/>
              </w:rPr>
              <w:t>6</w:t>
            </w:r>
            <w:r w:rsidRPr="003B6706">
              <w:rPr>
                <w:rFonts w:ascii="Times New Roman" w:hAnsi="Times New Roman" w:cs="Times New Roman"/>
                <w:sz w:val="18"/>
                <w:szCs w:val="18"/>
                <w:lang w:val="en-US"/>
              </w:rPr>
              <w:t xml:space="preserve"> weights on 64 cores at 14 nm</w:t>
            </w:r>
            <w:r w:rsidRPr="003B6706">
              <w:rPr>
                <w:rFonts w:ascii="Times New Roman" w:hAnsi="Times New Roman" w:cs="Times New Roman"/>
                <w:sz w:val="18"/>
                <w:szCs w:val="18"/>
                <w:vertAlign w:val="superscript"/>
                <w:lang w:val="en-US"/>
              </w:rPr>
              <w:t>33</w:t>
            </w:r>
            <w:r w:rsidRPr="003B6706">
              <w:rPr>
                <w:rFonts w:ascii="Times New Roman" w:hAnsi="Times New Roman" w:cs="Times New Roman"/>
                <w:sz w:val="18"/>
                <w:szCs w:val="18"/>
                <w:lang w:val="en-US"/>
              </w:rPr>
              <w:t>, both foundry-fabricated</w:t>
            </w:r>
          </w:p>
        </w:tc>
        <w:tc>
          <w:tcPr>
            <w:tcW w:w="700" w:type="pct"/>
            <w:vAlign w:val="center"/>
          </w:tcPr>
          <w:p w14:paraId="40E47AE4"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Chip-in-the-loop and noise-resilient training; write</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 xml:space="preserve">verify takes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 xml:space="preserve">8.5 pulses and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56 µs per cell</w:t>
            </w:r>
            <w:r w:rsidRPr="003B6706">
              <w:rPr>
                <w:rFonts w:ascii="Times New Roman" w:hAnsi="Times New Roman" w:cs="Times New Roman"/>
                <w:sz w:val="18"/>
                <w:szCs w:val="18"/>
                <w:vertAlign w:val="superscript"/>
                <w:lang w:val="en-US"/>
              </w:rPr>
              <w:t>32</w:t>
            </w:r>
            <w:r w:rsidRPr="003B6706">
              <w:rPr>
                <w:rFonts w:ascii="Times New Roman" w:hAnsi="Times New Roman" w:cs="Times New Roman"/>
                <w:sz w:val="18"/>
                <w:szCs w:val="18"/>
                <w:lang w:val="en-US"/>
              </w:rPr>
              <w:t xml:space="preserve">; converters take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 xml:space="preserve">27% of area and </w:t>
            </w:r>
            <w:r w:rsidRPr="003B6706">
              <w:rPr>
                <w:rFonts w:ascii="Times New Roman" w:hAnsi="Times New Roman" w:cs="Times New Roman" w:hint="eastAsia"/>
                <w:sz w:val="18"/>
                <w:szCs w:val="18"/>
                <w:lang w:val="en-US"/>
              </w:rPr>
              <w:t>≈</w:t>
            </w:r>
            <w:r w:rsidRPr="003B6706">
              <w:rPr>
                <w:rFonts w:ascii="Times New Roman" w:hAnsi="Times New Roman" w:cs="Times New Roman"/>
                <w:sz w:val="18"/>
                <w:szCs w:val="18"/>
                <w:lang w:val="en-US"/>
              </w:rPr>
              <w:t>50% of static power</w:t>
            </w:r>
            <w:r w:rsidRPr="003B6706">
              <w:rPr>
                <w:rFonts w:ascii="Times New Roman" w:hAnsi="Times New Roman" w:cs="Times New Roman"/>
                <w:sz w:val="18"/>
                <w:szCs w:val="18"/>
                <w:vertAlign w:val="superscript"/>
                <w:lang w:val="en-US"/>
              </w:rPr>
              <w:t>33</w:t>
            </w:r>
          </w:p>
        </w:tc>
      </w:tr>
      <w:tr w:rsidR="00F256B4" w:rsidRPr="00956E03" w14:paraId="407AE7F8" w14:textId="77777777">
        <w:trPr/>
        <w:tc>
          <w:tcPr>
            <w:tcW w:w="588" w:type="pct"/>
            <w:vAlign w:val="center"/>
          </w:tcPr>
          <w:p w14:paraId="1A2C739E" w14:textId="77777777" w:rsidR="00F256B4" w:rsidRDefault="00000000">
            <w:pPr>
              <w:rPr>
                <w:rFonts w:ascii="Times New Roman" w:hAnsi="Times New Roman" w:cs="Times New Roman"/>
                <w:sz w:val="20"/>
                <w:szCs w:val="20"/>
              </w:rPr>
            </w:pPr>
            <w:r>
              <w:rPr>
                <w:rFonts w:ascii="Times New Roman" w:hAnsi="Times New Roman" w:cs="Times New Roman"/>
                <w:sz w:val="18"/>
                <w:szCs w:val="18"/>
              </w:rPr>
              <w:t>Biomolecular</w:t>
            </w:r>
          </w:p>
        </w:tc>
        <w:tc>
          <w:tcPr>
            <w:tcW w:w="694" w:type="pct"/>
            <w:vAlign w:val="center"/>
          </w:tcPr>
          <w:p w14:paraId="365C446C"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Minutes to hours per computation</w:t>
            </w:r>
          </w:p>
        </w:tc>
        <w:tc>
          <w:tcPr>
            <w:tcW w:w="748" w:type="pct"/>
            <w:vAlign w:val="center"/>
          </w:tcPr>
          <w:p w14:paraId="0CB9BCC7"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Set by reagent consumption rather than per operation</w:t>
            </w:r>
          </w:p>
        </w:tc>
        <w:tc>
          <w:tcPr>
            <w:tcW w:w="801" w:type="pct"/>
            <w:vAlign w:val="center"/>
          </w:tcPr>
          <w:p w14:paraId="4C8BD417"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2–10 nm per molecular element; not areal, set by concentration</w:t>
            </w:r>
          </w:p>
        </w:tc>
        <w:tc>
          <w:tcPr>
            <w:tcW w:w="668" w:type="pct"/>
            <w:vAlign w:val="center"/>
          </w:tcPr>
          <w:p w14:paraId="2B54603B"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Not applicable; the output is a concentration</w:t>
            </w:r>
          </w:p>
        </w:tc>
        <w:tc>
          <w:tcPr>
            <w:tcW w:w="801" w:type="pct"/>
            <w:vAlign w:val="center"/>
          </w:tcPr>
          <w:p w14:paraId="5EFC8429"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10–10</w:t>
            </w:r>
            <w:r w:rsidRPr="003B6706">
              <w:rPr>
                <w:rFonts w:ascii="Times New Roman" w:hAnsi="Times New Roman" w:cs="Times New Roman"/>
                <w:sz w:val="18"/>
                <w:szCs w:val="18"/>
                <w:vertAlign w:val="superscript"/>
                <w:lang w:val="en-US"/>
              </w:rPr>
              <w:t>2</w:t>
            </w:r>
            <w:r w:rsidRPr="003B6706">
              <w:rPr>
                <w:rFonts w:ascii="Times New Roman" w:hAnsi="Times New Roman" w:cs="Times New Roman"/>
                <w:sz w:val="18"/>
                <w:szCs w:val="18"/>
                <w:lang w:val="en-US"/>
              </w:rPr>
              <w:t xml:space="preserve"> gates or strands; proof of concept</w:t>
            </w:r>
          </w:p>
        </w:tc>
        <w:tc>
          <w:tcPr>
            <w:tcW w:w="700" w:type="pct"/>
            <w:vAlign w:val="center"/>
          </w:tcPr>
          <w:p w14:paraId="1866F2BC"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18"/>
                <w:szCs w:val="18"/>
                <w:lang w:val="en-US"/>
              </w:rPr>
              <w:t>Largely offline by sequence design; readout by fluorescence, gel or sequencing over minutes to hours</w:t>
            </w:r>
          </w:p>
        </w:tc>
      </w:tr>
    </w:tbl>
    <w:p w14:paraId="4621EE7C" w14:textId="6C9D5182"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IV. PHYSICS-INTEGRATED </w:t>
      </w:r>
      <w:r>
        <w:rPr>
          <w:rFonts w:ascii="Times New Roman" w:hAnsi="Times New Roman" w:cs="Times New Roman"/>
          <w:sz w:val="24"/>
          <w:szCs w:val="24"/>
          <w:lang w:val="en-US"/>
        </w:rPr>
        <w:t>LEARNING</w:t>
      </w:r>
    </w:p>
    <w:p w14:paraId="1EC6D946" w14:textId="058C2CE7" w:rsidR="00F256B4" w:rsidRDefault="00000000">
      <w:pPr>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Physics-integrated </w:t>
      </w:r>
      <w:r>
        <w:rPr>
          <w:rFonts w:ascii="Times New Roman" w:hAnsi="Times New Roman" w:cs="Times New Roman"/>
          <w:sz w:val="21"/>
          <w:szCs w:val="21"/>
          <w:lang w:val="en-US"/>
        </w:rPr>
        <w:t>learning changes</w:t>
      </w:r>
      <w:r>
        <w:rPr>
          <w:rFonts w:ascii="Times New Roman" w:hAnsi="Times New Roman" w:cs="Times New Roman"/>
          <w:sz w:val="21"/>
          <w:szCs w:val="21"/>
          <w:lang w:val="en-US"/>
        </w:rPr>
        <w:t xml:space="preserve"> the structure of learning rather than the substrate of computation. </w:t>
      </w:r>
      <w:r>
        <w:rPr>
          <w:rFonts w:ascii="Times New Roman" w:hAnsi="Times New Roman" w:cs="Times New Roman"/>
          <w:sz w:val="21"/>
          <w:szCs w:val="21"/>
          <w:lang w:val="en-US"/>
        </w:rPr>
        <w:t>It is</w:t>
      </w:r>
      <w:r>
        <w:rPr>
          <w:rFonts w:ascii="Times New Roman" w:hAnsi="Times New Roman" w:cs="Times New Roman"/>
          <w:sz w:val="21"/>
          <w:szCs w:val="21"/>
          <w:lang w:val="en-US"/>
        </w:rPr>
        <w:t xml:space="preserve"> motivated by scientific tasks in which the governing equations, constraints, symmetries or admissible states are partly known. The aim is not to replace numerical analysis with black-box regression, but to combine data and mechanistic structure in ways that improve generalization, interpretability and data efficiency</w:t>
      </w:r>
      <w:r>
        <w:rPr>
          <w:rFonts w:ascii="Times New Roman" w:hAnsi="Times New Roman" w:cs="Times New Roman"/>
          <w:sz w:val="21"/>
          <w:szCs w:val="21"/>
          <w:vertAlign w:val="superscript"/>
          <w:lang w:val="en-US"/>
        </w:rPr>
        <w:t>42-59,</w:t>
      </w:r>
      <w:r>
        <w:rPr>
          <w:rFonts w:ascii="Times New Roman" w:hAnsi="Times New Roman" w:cs="Times New Roman"/>
          <w:sz w:val="21"/>
          <w:szCs w:val="21"/>
          <w:vertAlign w:val="superscript"/>
          <w:lang w:val="en-US"/>
        </w:rPr>
        <w:t>69-71</w:t>
      </w:r>
      <w:r>
        <w:rPr>
          <w:rFonts w:ascii="Times New Roman" w:hAnsi="Times New Roman" w:cs="Times New Roman"/>
          <w:sz w:val="21"/>
          <w:szCs w:val="21"/>
          <w:lang w:val="en-US"/>
        </w:rPr>
        <w:t>.</w:t>
      </w:r>
    </w:p>
    <w:p w14:paraId="4D8A1E2F"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A. Physics-informed neural networks and hard constraints</w:t>
      </w:r>
    </w:p>
    <w:p w14:paraId="46B4BD0D"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Physics-informed neural networks (PINNs) embed differential-equation residuals, boundary conditions and initial conditions into the training objective</w:t>
      </w:r>
      <w:r>
        <w:rPr>
          <w:rFonts w:ascii="Times New Roman" w:hAnsi="Times New Roman" w:cs="Times New Roman"/>
          <w:sz w:val="21"/>
          <w:szCs w:val="21"/>
          <w:vertAlign w:val="superscript"/>
          <w:lang w:val="en-US"/>
        </w:rPr>
        <w:t>42-43</w:t>
      </w:r>
      <w:r>
        <w:rPr>
          <w:rFonts w:ascii="Times New Roman" w:hAnsi="Times New Roman" w:cs="Times New Roman"/>
          <w:sz w:val="21"/>
          <w:szCs w:val="21"/>
          <w:lang w:val="en-US"/>
        </w:rPr>
        <w:t>. Automatic differentiation allows the residual of a governing equation to be evaluated at collocation points, making PINNs useful for forward and inverse problems when measurements are sparse. Reviews have documented wide adoption across fluids, heat transfer, solid mechanics, materials and biological systems</w:t>
      </w:r>
      <w:r>
        <w:rPr>
          <w:rFonts w:ascii="Times New Roman" w:hAnsi="Times New Roman" w:cs="Times New Roman"/>
          <w:sz w:val="21"/>
          <w:szCs w:val="21"/>
          <w:vertAlign w:val="superscript"/>
          <w:lang w:val="en-US"/>
        </w:rPr>
        <w:t>43-44</w:t>
      </w:r>
      <w:r>
        <w:rPr>
          <w:rFonts w:ascii="Times New Roman" w:hAnsi="Times New Roman" w:cs="Times New Roman"/>
          <w:sz w:val="21"/>
          <w:szCs w:val="21"/>
          <w:lang w:val="en-US"/>
        </w:rPr>
        <w:t>.</w:t>
      </w:r>
    </w:p>
    <w:p w14:paraId="1EC57C9B"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limitations are now equally clear. PINNs can struggle with stiff dynamics, multiscale solutions, discontinuities, long-time integration and competing loss terms</w:t>
      </w:r>
      <w:r>
        <w:rPr>
          <w:rFonts w:ascii="Times New Roman" w:hAnsi="Times New Roman" w:cs="Times New Roman"/>
          <w:sz w:val="21"/>
          <w:szCs w:val="21"/>
          <w:vertAlign w:val="superscript"/>
          <w:lang w:val="en-US"/>
        </w:rPr>
        <w:t>44-46</w:t>
      </w:r>
      <w:r>
        <w:rPr>
          <w:rFonts w:ascii="Times New Roman" w:hAnsi="Times New Roman" w:cs="Times New Roman"/>
          <w:sz w:val="21"/>
          <w:szCs w:val="21"/>
          <w:lang w:val="en-US"/>
        </w:rPr>
        <w:t>. Soft penalties for boundary and initial conditions require careful weighting and do not guarantee satisfaction outside sampled points. Exact imposition using distance functions, output transformations and specialized architectures has therefore become an important direction for improving reliability</w:t>
      </w:r>
      <w:r>
        <w:rPr>
          <w:rFonts w:ascii="Times New Roman" w:hAnsi="Times New Roman" w:cs="Times New Roman"/>
          <w:sz w:val="21"/>
          <w:szCs w:val="21"/>
          <w:vertAlign w:val="superscript"/>
          <w:lang w:val="en-US"/>
        </w:rPr>
        <w:t>47-49</w:t>
      </w:r>
      <w:r>
        <w:rPr>
          <w:rFonts w:ascii="Times New Roman" w:hAnsi="Times New Roman" w:cs="Times New Roman"/>
          <w:sz w:val="21"/>
          <w:szCs w:val="21"/>
          <w:lang w:val="en-US"/>
        </w:rPr>
        <w:t>.</w:t>
      </w:r>
    </w:p>
    <w:p w14:paraId="194A1AD5"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Hard constraints improve reliability when the constraint is known exactly and can be encoded without destroying expressivity. They are less appropriate when the physics is incomplete, noisy, dissipative or uncertain. The practical frontier is therefore not “hard constraints everywhere”, but adaptive combinations of exact constraints, soft residuals, data terms and uncertainty quantification.</w:t>
      </w:r>
    </w:p>
    <w:p w14:paraId="4AF40CA9" w14:textId="5884F0C6"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These limitations have distinct origins</w:t>
      </w:r>
      <w:r>
        <w:rPr>
          <w:rStyle w:val="af2"/>
          <w:rFonts w:ascii="Times New Roman" w:hAnsi="Times New Roman" w:cs="Times New Roman"/>
          <w:sz w:val="21"/>
          <w:szCs w:val="21"/>
          <w:lang w:val="en-US"/>
        </w:rPr>
      </w:r>
      <w:r>
        <w:rPr>
          <w:rFonts w:ascii="Times New Roman" w:hAnsi="Times New Roman" w:cs="Times New Roman"/>
          <w:sz w:val="21"/>
          <w:szCs w:val="21"/>
          <w:lang w:val="en-US"/>
        </w:rPr>
        <w:t>, and separating them matters because a mitigation aimed at one does not address the others. Competing loss terms arise from negatively aligned gradients of the residual, boundary and data terms within one parameter vector, so the weights act as a poorly conditioned trust region rather than a statement of physical priority; gradient-magnitude balancing removes the imbalance but leaves the directional conflict itself untouched</w:t>
      </w:r>
      <w:r>
        <w:rPr>
          <w:rFonts w:ascii="Times New Roman" w:hAnsi="Times New Roman" w:cs="Times New Roman"/>
          <w:sz w:val="21"/>
          <w:szCs w:val="21"/>
          <w:vertAlign w:val="superscript"/>
          <w:lang w:val="en-US"/>
        </w:rPr>
        <w:t>72</w:t>
      </w:r>
      <w:r>
        <w:rPr>
          <w:rFonts w:ascii="Times New Roman" w:hAnsi="Times New Roman" w:cs="Times New Roman"/>
          <w:sz w:val="21"/>
          <w:szCs w:val="21"/>
          <w:lang w:val="en-US"/>
        </w:rPr>
        <w:t>. Slow or partial convergence reflects a wide spread in the associated tangent-kernel eigenvalues, which makes the gradient flow stiff independently of network capacity</w:t>
      </w:r>
      <w:r>
        <w:rPr>
          <w:rFonts w:ascii="Times New Roman" w:hAnsi="Times New Roman" w:cs="Times New Roman"/>
          <w:sz w:val="21"/>
          <w:szCs w:val="21"/>
          <w:vertAlign w:val="superscript"/>
          <w:lang w:val="en-US"/>
        </w:rPr>
        <w:t>45,46</w:t>
      </w:r>
      <w:r>
        <w:rPr>
          <w:rFonts w:ascii="Times New Roman" w:hAnsi="Times New Roman" w:cs="Times New Roman"/>
          <w:sz w:val="21"/>
          <w:szCs w:val="21"/>
          <w:lang w:val="en-US"/>
        </w:rPr>
        <w:t>. Failure on multiscale and sharp-gradient solutions follows from the residual differentiating the network and thereby amplifying high-frequency error against its low-frequency bias, which Fourier-feature embeddings mitigate by shifting the tangent-kernel eigenvectors without removing the underlying bias</w:t>
      </w:r>
      <w:r>
        <w:rPr>
          <w:rFonts w:ascii="Times New Roman" w:hAnsi="Times New Roman" w:cs="Times New Roman"/>
          <w:sz w:val="21"/>
          <w:szCs w:val="21"/>
          <w:vertAlign w:val="superscript"/>
          <w:lang w:val="en-US"/>
        </w:rPr>
        <w:t>73</w:t>
      </w:r>
      <w:r>
        <w:rPr>
          <w:rFonts w:ascii="Times New Roman" w:hAnsi="Times New Roman" w:cs="Times New Roman"/>
          <w:sz w:val="21"/>
          <w:szCs w:val="21"/>
          <w:lang w:val="en-US"/>
        </w:rPr>
        <w:t>; and divergent long-time integration follows from residual collocation being unordered in time, which causal weighting corrects at the cost of a sequential training schedule</w:t>
      </w:r>
      <w:r>
        <w:rPr>
          <w:rFonts w:ascii="Times New Roman" w:hAnsi="Times New Roman" w:cs="Times New Roman"/>
          <w:sz w:val="21"/>
          <w:szCs w:val="21"/>
          <w:vertAlign w:val="superscript"/>
          <w:lang w:val="en-US"/>
        </w:rPr>
        <w:t>74</w:t>
      </w:r>
      <w:r>
        <w:rPr>
          <w:rFonts w:ascii="Times New Roman" w:hAnsi="Times New Roman" w:cs="Times New Roman"/>
          <w:sz w:val="21"/>
          <w:szCs w:val="21"/>
          <w:lang w:val="en-US"/>
        </w:rPr>
        <w:t>. Table III maps the standard mitigations onto these origins and, as importantly, records what each one leaves untouched.</w:t>
      </w:r>
    </w:p>
    <w:p w14:paraId="0F967A7A" w14:textId="77777777" w:rsidR="00F256B4" w:rsidRDefault="00000000">
      <w:pPr>
        <w:spacing w:after="120"/>
        <w:jc w:val="both"/>
        <w:rPr>
          <w:rFonts w:ascii="Times New Roman" w:hAnsi="Times New Roman" w:cs="Times New Roman"/>
          <w:sz w:val="32"/>
          <w:szCs w:val="32"/>
          <w:lang w:val="en-US"/>
        </w:rPr>
      </w:pPr>
      <w:r>
        <w:rPr>
          <w:rFonts w:ascii="Times New Roman" w:hAnsi="Times New Roman" w:cs="Times New Roman"/>
          <w:sz w:val="21"/>
          <w:szCs w:val="21"/>
          <w:lang w:val="en-US"/>
        </w:rPr>
        <w:t>TABLE III. Failure mechanisms of physics-informed neural networks, their origins, and what the standard mitigations do and do not address.</w:t>
      </w:r>
    </w:p>
    <w:tbl>
      <w:tblPr>
        <w:tblStyle w:val="ae"/>
        <w:tblW w:w="5000" w:type="pct"/>
        <w:tblCellMar>
          <w:left w:w="0" w:type="dxa"/>
          <w:right w:w="0" w:type="dxa"/>
        </w:tblCellMar>
        <w:tblLook w:val="04A0" w:firstRow="1" w:lastRow="0" w:firstColumn="1" w:lastColumn="0" w:noHBand="0" w:noVBand="1"/>
        <w:tblCaption w:val="Failure mechanisms and mitigations for physics-informed neural networks"/>
        <w:tblDescription w:val="Links each failure mode of physics-informed neural networks to its underlying mechanism, the standard mitigation, and what that mitigation leaves unresolved."/>
      </w:tblPr>
      <w:tblGrid>
        <w:gridCol w:w="2337"/>
        <w:gridCol w:w="2337"/>
        <w:gridCol w:w="2338"/>
        <w:gridCol w:w="2338"/>
      </w:tblGrid>
      <w:tr w:rsidR="00F256B4" w:rsidRPr="00956E03" w14:paraId="249794FC" w14:textId="77777777">
        <w:trPr/>
        <w:tc>
          <w:tcPr>
            <w:tcW w:w="1250" w:type="pct"/>
            <w:vAlign w:val="center"/>
          </w:tcPr>
          <w:p w14:paraId="1AE54DF3"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Failure mechanism</w:t>
            </w:r>
          </w:p>
        </w:tc>
        <w:tc>
          <w:tcPr>
            <w:tcW w:w="1250" w:type="pct"/>
            <w:vAlign w:val="center"/>
          </w:tcPr>
          <w:p w14:paraId="69EC1C85"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Underlying cause</w:t>
            </w:r>
          </w:p>
        </w:tc>
        <w:tc>
          <w:tcPr>
            <w:tcW w:w="1250" w:type="pct"/>
            <w:vAlign w:val="center"/>
          </w:tcPr>
          <w:p w14:paraId="220F11D4" w14:textId="77777777" w:rsidR="00F256B4" w:rsidRDefault="00000000">
            <w:pPr>
              <w:rPr>
                <w:rFonts w:ascii="Times New Roman" w:hAnsi="Times New Roman" w:cs="Times New Roman"/>
                <w:sz w:val="20"/>
                <w:szCs w:val="20"/>
              </w:rPr>
            </w:pPr>
            <w:r>
              <w:rPr>
                <w:rFonts w:ascii="Times New Roman" w:hAnsi="Times New Roman" w:cs="Times New Roman"/>
                <w:sz w:val="20"/>
                <w:szCs w:val="20"/>
              </w:rPr>
              <w:t>Standard mitigations</w:t>
            </w:r>
          </w:p>
        </w:tc>
        <w:tc>
          <w:tcPr>
            <w:tcW w:w="1250" w:type="pct"/>
            <w:vAlign w:val="center"/>
          </w:tcPr>
          <w:p w14:paraId="372BC0FE"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What they do not fix</w:t>
            </w:r>
          </w:p>
        </w:tc>
      </w:tr>
      <w:tr w:rsidR="00F256B4" w:rsidRPr="00956E03" w14:paraId="5AC20A4F" w14:textId="77777777">
        <w:trPr/>
        <w:tc>
          <w:tcPr>
            <w:tcW w:w="1250" w:type="pct"/>
            <w:vAlign w:val="center"/>
          </w:tcPr>
          <w:p w14:paraId="663B50AD"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Competing loss terms; sensitivity to weighting</w:t>
            </w:r>
          </w:p>
        </w:tc>
        <w:tc>
          <w:tcPr>
            <w:tcW w:w="1250" w:type="pct"/>
            <w:vAlign w:val="center"/>
          </w:tcPr>
          <w:p w14:paraId="0C92E17B"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Negatively aligned gradients of residual, boundary and data terms in one parameter vector</w:t>
            </w:r>
          </w:p>
        </w:tc>
        <w:tc>
          <w:tcPr>
            <w:tcW w:w="1250" w:type="pct"/>
            <w:vAlign w:val="center"/>
          </w:tcPr>
          <w:p w14:paraId="79E0DCFC"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Adaptive and self-adaptive weighting; gradient projection; augmented-Lagrangian formulations</w:t>
            </w:r>
          </w:p>
        </w:tc>
        <w:tc>
          <w:tcPr>
            <w:tcW w:w="1250" w:type="pct"/>
            <w:vAlign w:val="center"/>
          </w:tcPr>
          <w:p w14:paraId="428A9D51"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The conflict itself; weights are rebalanced, not removed</w:t>
            </w:r>
          </w:p>
        </w:tc>
      </w:tr>
      <w:tr w:rsidR="00F256B4" w:rsidRPr="00956E03" w14:paraId="2B5FCEE8" w14:textId="77777777">
        <w:trPr/>
        <w:tc>
          <w:tcPr>
            <w:tcW w:w="1250" w:type="pct"/>
            <w:vAlign w:val="center"/>
          </w:tcPr>
          <w:p w14:paraId="61126964"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Slow or partial convergence; boundary conditions satisfied only where sampled</w:t>
            </w:r>
          </w:p>
        </w:tc>
        <w:tc>
          <w:tcPr>
            <w:tcW w:w="1250" w:type="pct"/>
            <w:vAlign w:val="center"/>
          </w:tcPr>
          <w:p w14:paraId="1A62025D"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Wide spread in tangent-kernel eigenvalues, giving a stiff gradient flow</w:t>
            </w:r>
            <w:r w:rsidRPr="003B6706">
              <w:rPr>
                <w:rFonts w:ascii="Times New Roman" w:hAnsi="Times New Roman" w:cs="Times New Roman"/>
                <w:sz w:val="20"/>
                <w:szCs w:val="20"/>
                <w:vertAlign w:val="superscript"/>
                <w:lang w:val="en-US"/>
              </w:rPr>
              <w:t>45</w:t>
            </w:r>
          </w:p>
        </w:tc>
        <w:tc>
          <w:tcPr>
            <w:tcW w:w="1250" w:type="pct"/>
            <w:vAlign w:val="center"/>
          </w:tcPr>
          <w:p w14:paraId="3D0165E1"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Tangent-kernel-informed weighting; exact imposition by distance functions or output transforms</w:t>
            </w:r>
            <w:r w:rsidRPr="003B6706">
              <w:rPr>
                <w:rFonts w:ascii="Times New Roman" w:hAnsi="Times New Roman" w:cs="Times New Roman"/>
                <w:sz w:val="20"/>
                <w:szCs w:val="20"/>
                <w:vertAlign w:val="superscript"/>
                <w:lang w:val="en-US"/>
              </w:rPr>
              <w:t>47-49</w:t>
            </w:r>
          </w:p>
        </w:tc>
        <w:tc>
          <w:tcPr>
            <w:tcW w:w="1250" w:type="pct"/>
            <w:vAlign w:val="center"/>
          </w:tcPr>
          <w:p w14:paraId="79AE3623"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Cases where the constraint is not known exactly, so exact imposition is inappropriate</w:t>
            </w:r>
          </w:p>
        </w:tc>
      </w:tr>
      <w:tr w:rsidR="00F256B4" w:rsidRPr="00956E03" w14:paraId="5B5F2F0F" w14:textId="77777777">
        <w:trPr/>
        <w:tc>
          <w:tcPr>
            <w:tcW w:w="1250" w:type="pct"/>
            <w:vAlign w:val="center"/>
          </w:tcPr>
          <w:p w14:paraId="15916D3B"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Failure on multiscale, high-wavenumber or sharp-gradient solutions</w:t>
            </w:r>
          </w:p>
        </w:tc>
        <w:tc>
          <w:tcPr>
            <w:tcW w:w="1250" w:type="pct"/>
            <w:vAlign w:val="center"/>
          </w:tcPr>
          <w:p w14:paraId="071826D6"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Differentiation amplifies high-frequency error against the low-frequency bias of the network</w:t>
            </w:r>
          </w:p>
        </w:tc>
        <w:tc>
          <w:tcPr>
            <w:tcW w:w="1250" w:type="pct"/>
            <w:vAlign w:val="center"/>
          </w:tcPr>
          <w:p w14:paraId="44968E46"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Fourier or random-feature input embeddings; domain decomposition; residual-based adaptive sampling</w:t>
            </w:r>
          </w:p>
        </w:tc>
        <w:tc>
          <w:tcPr>
            <w:tcW w:w="1250" w:type="pct"/>
            <w:vAlign w:val="center"/>
          </w:tcPr>
          <w:p w14:paraId="5EDCE58D"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Global stiffness across subdomain interfaces; cost grows with the number of subdomains</w:t>
            </w:r>
          </w:p>
        </w:tc>
      </w:tr>
      <w:tr w:rsidR="00F256B4" w:rsidRPr="00956E03" w14:paraId="19F45DF8" w14:textId="77777777">
        <w:trPr/>
        <w:tc>
          <w:tcPr>
            <w:tcW w:w="1250" w:type="pct"/>
            <w:vAlign w:val="center"/>
          </w:tcPr>
          <w:p w14:paraId="6D9D2E4F"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 xml:space="preserve">Divergent long-time </w:t>
            </w:r>
            <w:r w:rsidRPr="003B6706">
              <w:rPr>
                <w:rFonts w:ascii="Times New Roman" w:hAnsi="Times New Roman" w:cs="Times New Roman"/>
                <w:sz w:val="20"/>
                <w:szCs w:val="20"/>
                <w:lang w:val="en-US"/>
              </w:rPr>
              <w:lastRenderedPageBreak/>
              <w:t>integration; solution ignores the initial condition</w:t>
            </w:r>
          </w:p>
        </w:tc>
        <w:tc>
          <w:tcPr>
            <w:tcW w:w="1250" w:type="pct"/>
            <w:vAlign w:val="center"/>
          </w:tcPr>
          <w:p w14:paraId="42068110" w14:textId="0D26A12D"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lastRenderedPageBreak/>
              <w:t xml:space="preserve">Residual collocation is </w:t>
            </w:r>
            <w:r w:rsidRPr="003B6706">
              <w:rPr>
                <w:rFonts w:ascii="Times New Roman" w:hAnsi="Times New Roman" w:cs="Times New Roman"/>
                <w:sz w:val="20"/>
                <w:szCs w:val="20"/>
                <w:lang w:val="en-US"/>
              </w:rPr>
              <w:lastRenderedPageBreak/>
              <w:t xml:space="preserve">unordered in time, so information need not propagate </w:t>
            </w:r>
            <w:r w:rsidR="00D47FA4">
              <w:rPr>
                <w:rFonts w:ascii="Times New Roman" w:hAnsi="Times New Roman" w:cs="Times New Roman"/>
                <w:sz w:val="20"/>
                <w:szCs w:val="20"/>
                <w:lang w:val="en-US"/>
              </w:rPr>
              <w:t>causally</w:t>
            </w:r>
            <w:r w:rsidR="00D47FA4" w:rsidRPr="003B6706">
              <w:rPr>
                <w:rFonts w:ascii="Times New Roman" w:hAnsi="Times New Roman" w:cs="Times New Roman"/>
                <w:sz w:val="20"/>
                <w:szCs w:val="20"/>
                <w:vertAlign w:val="superscript"/>
                <w:lang w:val="en-US"/>
              </w:rPr>
              <w:t>74</w:t>
            </w:r>
          </w:p>
        </w:tc>
        <w:tc>
          <w:tcPr>
            <w:tcW w:w="1250" w:type="pct"/>
            <w:vAlign w:val="center"/>
          </w:tcPr>
          <w:p w14:paraId="0E92201A"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lastRenderedPageBreak/>
              <w:t xml:space="preserve">Time marching and </w:t>
            </w:r>
            <w:r w:rsidRPr="003B6706">
              <w:rPr>
                <w:rFonts w:ascii="Times New Roman" w:hAnsi="Times New Roman" w:cs="Times New Roman"/>
                <w:sz w:val="20"/>
                <w:szCs w:val="20"/>
                <w:lang w:val="en-US"/>
              </w:rPr>
              <w:lastRenderedPageBreak/>
              <w:t>curriculum training; causal residual weighting</w:t>
            </w:r>
          </w:p>
        </w:tc>
        <w:tc>
          <w:tcPr>
            <w:tcW w:w="1250" w:type="pct"/>
            <w:vAlign w:val="center"/>
          </w:tcPr>
          <w:p w14:paraId="16E63E65"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lastRenderedPageBreak/>
              <w:t xml:space="preserve">Conditioning and gradient </w:t>
            </w:r>
            <w:r w:rsidRPr="003B6706">
              <w:rPr>
                <w:rFonts w:ascii="Times New Roman" w:hAnsi="Times New Roman" w:cs="Times New Roman"/>
                <w:sz w:val="20"/>
                <w:szCs w:val="20"/>
                <w:lang w:val="en-US"/>
              </w:rPr>
              <w:lastRenderedPageBreak/>
              <w:t>conflict, which persist within each time window</w:t>
            </w:r>
          </w:p>
        </w:tc>
      </w:tr>
      <w:tr w:rsidR="00F256B4" w:rsidRPr="00956E03" w14:paraId="32152292" w14:textId="77777777">
        <w:trPr/>
        <w:tc>
          <w:tcPr>
            <w:tcW w:w="1250" w:type="pct"/>
            <w:vAlign w:val="center"/>
          </w:tcPr>
          <w:p w14:paraId="4EC5AC30"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lastRenderedPageBreak/>
              <w:t>Overconfident predictions under sparse or noisy data</w:t>
            </w:r>
          </w:p>
        </w:tc>
        <w:tc>
          <w:tcPr>
            <w:tcW w:w="1250" w:type="pct"/>
            <w:vAlign w:val="center"/>
          </w:tcPr>
          <w:p w14:paraId="106B9704"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No account of epistemic uncertainty in either the data or the constraint</w:t>
            </w:r>
          </w:p>
        </w:tc>
        <w:tc>
          <w:tcPr>
            <w:tcW w:w="1250" w:type="pct"/>
            <w:vAlign w:val="center"/>
          </w:tcPr>
          <w:p w14:paraId="0A8D254F"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Bayesian physics-informed formulations; ensembles</w:t>
            </w:r>
          </w:p>
        </w:tc>
        <w:tc>
          <w:tcPr>
            <w:tcW w:w="1250" w:type="pct"/>
            <w:vAlign w:val="center"/>
          </w:tcPr>
          <w:p w14:paraId="63DD0BA8" w14:textId="77777777" w:rsidR="00F256B4" w:rsidRPr="003B6706" w:rsidRDefault="00000000">
            <w:pPr>
              <w:rPr>
                <w:rFonts w:ascii="Times New Roman" w:hAnsi="Times New Roman" w:cs="Times New Roman"/>
                <w:sz w:val="20"/>
                <w:szCs w:val="20"/>
                <w:lang w:val="en-US"/>
              </w:rPr>
            </w:pPr>
            <w:r w:rsidRPr="003B6706">
              <w:rPr>
                <w:rFonts w:ascii="Times New Roman" w:hAnsi="Times New Roman" w:cs="Times New Roman"/>
                <w:sz w:val="20"/>
                <w:szCs w:val="20"/>
                <w:lang w:val="en-US"/>
              </w:rPr>
              <w:t>Model misspecification when the assumed physics is itself incomplete</w:t>
            </w:r>
          </w:p>
        </w:tc>
      </w:tr>
    </w:tbl>
    <w:p w14:paraId="6FDBFC26"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B. Conservation-aware and neural differential models</w:t>
      </w:r>
    </w:p>
    <w:p w14:paraId="65653816" w14:textId="2019F7F8"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Conservation-aware neural networks restrict learned dynamics to physically admissible spaces. Hamiltonian and related geometric neural networks show how energy, symplectic structure or variational principles can be built into learned dynamics</w:t>
      </w:r>
      <w:r>
        <w:rPr>
          <w:rFonts w:ascii="Times New Roman" w:hAnsi="Times New Roman" w:cs="Times New Roman"/>
          <w:sz w:val="21"/>
          <w:szCs w:val="21"/>
          <w:vertAlign w:val="superscript"/>
          <w:lang w:val="en-US"/>
        </w:rPr>
        <w:t>50</w:t>
      </w:r>
      <w:r>
        <w:rPr>
          <w:rFonts w:ascii="Times New Roman" w:hAnsi="Times New Roman" w:cs="Times New Roman"/>
          <w:sz w:val="21"/>
          <w:szCs w:val="21"/>
          <w:lang w:val="en-US"/>
        </w:rPr>
        <w:t xml:space="preserve">. These models are especially </w:t>
      </w:r>
      <w:r w:rsidR="00956E03" w:rsidRPr="00956E03">
        <w:rPr>
          <w:rFonts w:ascii="Times New Roman" w:hAnsi="Times New Roman" w:cs="Times New Roman"/>
          <w:sz w:val="21"/>
          <w:szCs w:val="21"/>
          <w:lang w:val="en-US"/>
        </w:rPr>
        <w:t>useful</w:t>
      </w:r>
      <w:r>
        <w:rPr>
          <w:rFonts w:ascii="Times New Roman" w:hAnsi="Times New Roman" w:cs="Times New Roman"/>
          <w:sz w:val="21"/>
          <w:szCs w:val="21"/>
          <w:lang w:val="en-US"/>
        </w:rPr>
        <w:t xml:space="preserve"> for long-horizon prediction, where small violations of invariants can accumulate.</w:t>
      </w:r>
    </w:p>
    <w:p w14:paraId="77258E9D" w14:textId="62FABB9F"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Neural ordinary differential equations (neural ODEs) provide a complementary view by treating network depth as continuous time</w:t>
      </w:r>
      <w:r>
        <w:rPr>
          <w:rFonts w:ascii="Times New Roman" w:hAnsi="Times New Roman" w:cs="Times New Roman"/>
          <w:sz w:val="21"/>
          <w:szCs w:val="21"/>
          <w:vertAlign w:val="superscript"/>
          <w:lang w:val="en-US"/>
        </w:rPr>
        <w:t>51</w:t>
      </w:r>
      <w:r>
        <w:rPr>
          <w:rFonts w:ascii="Times New Roman" w:hAnsi="Times New Roman" w:cs="Times New Roman"/>
          <w:sz w:val="21"/>
          <w:szCs w:val="21"/>
          <w:lang w:val="en-US"/>
        </w:rPr>
        <w:t xml:space="preserve">. This framing is natural for irregularly sampled time series, latent dynamical systems and reduced-order physical models. In spintronic experiments, neural ODEs have been used to forecast device dynamics from measured data and accelerate simulation relative to more expensive </w:t>
      </w:r>
      <w:r>
        <w:rPr>
          <w:rFonts w:ascii="Times New Roman" w:hAnsi="Times New Roman" w:cs="Times New Roman"/>
          <w:sz w:val="21"/>
          <w:szCs w:val="21"/>
          <w:lang w:val="en-US"/>
        </w:rPr>
        <w:t xml:space="preserve">micromagnetic </w:t>
      </w:r>
      <w:r>
        <w:rPr>
          <w:rFonts w:ascii="Times New Roman" w:hAnsi="Times New Roman" w:cs="Times New Roman"/>
          <w:sz w:val="21"/>
          <w:szCs w:val="21"/>
          <w:lang w:val="en-US"/>
        </w:rPr>
        <w:t>modeling</w:t>
      </w:r>
      <w:r>
        <w:rPr>
          <w:rStyle w:val="af2"/>
          <w:rFonts w:ascii="Times New Roman" w:hAnsi="Times New Roman" w:cs="Times New Roman"/>
          <w:sz w:val="21"/>
          <w:szCs w:val="21"/>
          <w:vertAlign w:val="superscript"/>
          <w:lang w:val="en-US"/>
        </w:rPr>
      </w:r>
      <w:r>
        <w:rPr>
          <w:rFonts w:ascii="Times New Roman" w:hAnsi="Times New Roman" w:cs="Times New Roman"/>
          <w:sz w:val="21"/>
          <w:szCs w:val="21"/>
          <w:vertAlign w:val="superscript"/>
          <w:lang w:val="en-US"/>
        </w:rPr>
        <w:t>52</w:t>
      </w:r>
      <w:r>
        <w:rPr>
          <w:rFonts w:ascii="Times New Roman" w:hAnsi="Times New Roman" w:cs="Times New Roman"/>
          <w:sz w:val="21"/>
          <w:szCs w:val="21"/>
          <w:lang w:val="en-US"/>
        </w:rPr>
        <w:t>. More generally, hybrid scientific machine-learning models should learn missing dynamics rather than replace well-established physical structure.</w:t>
      </w:r>
    </w:p>
    <w:p w14:paraId="76DD0914"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These methods expose a useful principle: a model should learn only what the scientist does not already know. When equations, symmetries or invariants are available, they should constrain the hypothesis space.</w:t>
      </w:r>
    </w:p>
    <w:p w14:paraId="18B241A0"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C. Neural operators and physical foundation models</w:t>
      </w:r>
    </w:p>
    <w:p w14:paraId="098C4642" w14:textId="47FCB361"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Neural operators learn mappings between functions, rather than mappings between finite-dimensional vectors</w:t>
      </w:r>
      <w:r>
        <w:rPr>
          <w:rFonts w:ascii="Times New Roman" w:hAnsi="Times New Roman" w:cs="Times New Roman"/>
          <w:sz w:val="21"/>
          <w:szCs w:val="21"/>
          <w:vertAlign w:val="superscript"/>
          <w:lang w:val="en-US"/>
        </w:rPr>
        <w:t>53-56</w:t>
      </w:r>
      <w:r>
        <w:rPr>
          <w:rFonts w:ascii="Times New Roman" w:hAnsi="Times New Roman" w:cs="Times New Roman"/>
          <w:sz w:val="21"/>
          <w:szCs w:val="21"/>
          <w:lang w:val="en-US"/>
        </w:rPr>
        <w:t xml:space="preserve">. This is critical for scientific computing because many tasks require solving families of </w:t>
      </w:r>
      <w:r>
        <w:rPr>
          <w:rFonts w:ascii="Times New Roman" w:hAnsi="Times New Roman" w:cs="Times New Roman"/>
          <w:sz w:val="21"/>
          <w:szCs w:val="21"/>
          <w:lang w:val="en-US"/>
        </w:rPr>
        <w:t>partial differential equations (</w:t>
      </w:r>
      <w:r>
        <w:rPr>
          <w:rFonts w:ascii="Times New Roman" w:hAnsi="Times New Roman" w:cs="Times New Roman"/>
          <w:sz w:val="21"/>
          <w:szCs w:val="21"/>
          <w:lang w:val="en-US"/>
        </w:rPr>
        <w:t>PDEs</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across varying coefficients, forcing terms, geometries or boundary conditions. DeepONet introduced an operator-learning architecture based on branch and trunk networks</w:t>
      </w:r>
      <w:r>
        <w:rPr>
          <w:rFonts w:ascii="Times New Roman" w:hAnsi="Times New Roman" w:cs="Times New Roman"/>
          <w:sz w:val="21"/>
          <w:szCs w:val="21"/>
          <w:vertAlign w:val="superscript"/>
          <w:lang w:val="en-US"/>
        </w:rPr>
        <w:t>53</w:t>
      </w:r>
      <w:r>
        <w:rPr>
          <w:rFonts w:ascii="Times New Roman" w:hAnsi="Times New Roman" w:cs="Times New Roman"/>
          <w:sz w:val="21"/>
          <w:szCs w:val="21"/>
          <w:lang w:val="en-US"/>
        </w:rPr>
        <w:t>. Fourier neural operators parameterized operator kernels in spectral space and enabled efficient learning of parametric PDE solution maps</w:t>
      </w:r>
      <w:r>
        <w:rPr>
          <w:rFonts w:ascii="Times New Roman" w:hAnsi="Times New Roman" w:cs="Times New Roman"/>
          <w:sz w:val="21"/>
          <w:szCs w:val="21"/>
          <w:vertAlign w:val="superscript"/>
          <w:lang w:val="en-US"/>
        </w:rPr>
        <w:t>54</w:t>
      </w:r>
      <w:r>
        <w:rPr>
          <w:rFonts w:ascii="Times New Roman" w:hAnsi="Times New Roman" w:cs="Times New Roman"/>
          <w:sz w:val="21"/>
          <w:szCs w:val="21"/>
          <w:lang w:val="en-US"/>
        </w:rPr>
        <w:t>. Graph neural operators and related frameworks extended operator learning to more general domains</w:t>
      </w:r>
      <w:r>
        <w:rPr>
          <w:rFonts w:ascii="Times New Roman" w:hAnsi="Times New Roman" w:cs="Times New Roman"/>
          <w:sz w:val="21"/>
          <w:szCs w:val="21"/>
          <w:vertAlign w:val="superscript"/>
          <w:lang w:val="en-US"/>
        </w:rPr>
        <w:t>55</w:t>
      </w:r>
      <w:r>
        <w:rPr>
          <w:rFonts w:ascii="Times New Roman" w:hAnsi="Times New Roman" w:cs="Times New Roman"/>
          <w:sz w:val="21"/>
          <w:szCs w:val="21"/>
          <w:lang w:val="en-US"/>
        </w:rPr>
        <w:t>. Physics-informed neural operators integrate residual constraints with operator learning</w:t>
      </w:r>
      <w:r>
        <w:rPr>
          <w:rFonts w:ascii="Times New Roman" w:hAnsi="Times New Roman" w:cs="Times New Roman"/>
          <w:sz w:val="21"/>
          <w:szCs w:val="21"/>
          <w:vertAlign w:val="superscript"/>
          <w:lang w:val="en-US"/>
        </w:rPr>
        <w:t>56</w:t>
      </w:r>
      <w:r>
        <w:rPr>
          <w:rFonts w:ascii="Times New Roman" w:hAnsi="Times New Roman" w:cs="Times New Roman"/>
          <w:sz w:val="21"/>
          <w:szCs w:val="21"/>
          <w:lang w:val="en-US"/>
        </w:rPr>
        <w:t>.</w:t>
      </w:r>
    </w:p>
    <w:p w14:paraId="65700F1E" w14:textId="0FED4666"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Recent Nature Reviews Physics coverage </w:t>
      </w:r>
      <w:r w:rsidR="00956E03" w:rsidRPr="00956E03">
        <w:rPr>
          <w:rFonts w:ascii="Times New Roman" w:hAnsi="Times New Roman" w:cs="Times New Roman"/>
          <w:sz w:val="21"/>
          <w:szCs w:val="21"/>
          <w:lang w:val="en-US"/>
        </w:rPr>
        <w:t>sets out</w:t>
      </w:r>
      <w:r>
        <w:rPr>
          <w:rFonts w:ascii="Times New Roman" w:hAnsi="Times New Roman" w:cs="Times New Roman"/>
          <w:sz w:val="21"/>
          <w:szCs w:val="21"/>
          <w:lang w:val="en-US"/>
        </w:rPr>
        <w:t xml:space="preserve"> why neural operators </w:t>
      </w:r>
      <w:r w:rsidR="00956E03" w:rsidRPr="00956E03">
        <w:rPr>
          <w:rFonts w:ascii="Times New Roman" w:hAnsi="Times New Roman" w:cs="Times New Roman"/>
          <w:sz w:val="21"/>
          <w:szCs w:val="21"/>
          <w:lang w:val="en-US"/>
        </w:rPr>
        <w:t>matter</w:t>
      </w:r>
      <w:r>
        <w:rPr>
          <w:rFonts w:ascii="Times New Roman" w:hAnsi="Times New Roman" w:cs="Times New Roman"/>
          <w:sz w:val="21"/>
          <w:szCs w:val="21"/>
          <w:lang w:val="en-US"/>
        </w:rPr>
        <w:t>: after training, they can provide surrogate simulation and inverse-design capabilities with speedups of several orders of magnitude in multi-query settings, while still requiring careful validation under distribution shift</w:t>
      </w:r>
      <w:r>
        <w:rPr>
          <w:rFonts w:ascii="Times New Roman" w:hAnsi="Times New Roman" w:cs="Times New Roman"/>
          <w:sz w:val="21"/>
          <w:szCs w:val="21"/>
          <w:vertAlign w:val="superscript"/>
          <w:lang w:val="en-US"/>
        </w:rPr>
        <w:t>57</w:t>
      </w:r>
      <w:r>
        <w:rPr>
          <w:rFonts w:ascii="Times New Roman" w:hAnsi="Times New Roman" w:cs="Times New Roman"/>
          <w:sz w:val="21"/>
          <w:szCs w:val="21"/>
          <w:lang w:val="en-US"/>
        </w:rPr>
        <w:t>. Applications in fluid mechanics, weather, materials and inverse design illustrate their promise</w:t>
      </w:r>
      <w:r>
        <w:rPr>
          <w:rFonts w:ascii="Times New Roman" w:hAnsi="Times New Roman" w:cs="Times New Roman"/>
          <w:sz w:val="21"/>
          <w:szCs w:val="21"/>
          <w:vertAlign w:val="superscript"/>
          <w:lang w:val="en-US"/>
        </w:rPr>
        <w:t>57,</w:t>
      </w:r>
      <w:r>
        <w:rPr>
          <w:rFonts w:ascii="Times New Roman" w:hAnsi="Times New Roman" w:cs="Times New Roman"/>
          <w:sz w:val="21"/>
          <w:szCs w:val="21"/>
          <w:vertAlign w:val="superscript"/>
          <w:lang w:val="en-US"/>
        </w:rPr>
        <w:t>69-71,75</w:t>
      </w:r>
      <w:r>
        <w:rPr>
          <w:rFonts w:ascii="Times New Roman" w:hAnsi="Times New Roman" w:cs="Times New Roman"/>
          <w:sz w:val="21"/>
          <w:szCs w:val="21"/>
          <w:lang w:val="en-US"/>
        </w:rPr>
        <w:t>.</w:t>
      </w:r>
    </w:p>
    <w:p w14:paraId="1700D422" w14:textId="274CF28D"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The broader foundation-model paradigm is also entering the physical sciences. Weather and climate foundation models such as Pangu-Weather and GraphCast have shown that large-scale learned surrogates can encode useful structure across many states of a complex dynamical </w:t>
      </w:r>
      <w:r>
        <w:rPr>
          <w:rFonts w:ascii="Times New Roman" w:hAnsi="Times New Roman" w:cs="Times New Roman"/>
          <w:sz w:val="21"/>
          <w:szCs w:val="21"/>
          <w:lang w:val="en-US"/>
        </w:rPr>
        <w:t>system</w:t>
      </w:r>
      <w:r>
        <w:rPr>
          <w:rFonts w:ascii="Times New Roman" w:hAnsi="Times New Roman" w:cs="Times New Roman"/>
          <w:sz w:val="21"/>
          <w:szCs w:val="21"/>
          <w:vertAlign w:val="superscript"/>
          <w:lang w:val="en-US"/>
        </w:rPr>
        <w:t>76-77</w:t>
      </w:r>
      <w:r>
        <w:rPr>
          <w:rFonts w:ascii="Times New Roman" w:hAnsi="Times New Roman" w:cs="Times New Roman"/>
          <w:sz w:val="21"/>
          <w:szCs w:val="21"/>
          <w:lang w:val="en-US"/>
        </w:rPr>
        <w:t>. These models are not universal solvers for all physical systems, but they demonstrate how large pretrained architectures can support fast prediction, transfer and data assimilation in physically structured domains. For PDEs and engineering design, the analogous goal is a broadly transferable surrogate model that generalizes across parameters, geometries and tasks. Neural operators are one route toward that goal; foundation models for physical systems are a broader ambition that remains under active development.</w:t>
      </w:r>
    </w:p>
    <w:p w14:paraId="15D6D4DA"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D. KANs and physics-informed structural innovation</w:t>
      </w:r>
    </w:p>
    <w:p w14:paraId="6DB06105" w14:textId="1F766C8D"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KANs replace fixed node activations and linear weights with learnable univariate functions on edges, typically parameterized by splines or related bases</w:t>
      </w:r>
      <w:r>
        <w:rPr>
          <w:rFonts w:ascii="Times New Roman" w:hAnsi="Times New Roman" w:cs="Times New Roman"/>
          <w:sz w:val="21"/>
          <w:szCs w:val="21"/>
          <w:vertAlign w:val="superscript"/>
          <w:lang w:val="en-US"/>
        </w:rPr>
        <w:t>6</w:t>
      </w:r>
      <w:r>
        <w:rPr>
          <w:rFonts w:ascii="Times New Roman" w:hAnsi="Times New Roman" w:cs="Times New Roman"/>
          <w:sz w:val="21"/>
          <w:szCs w:val="21"/>
          <w:lang w:val="en-US"/>
        </w:rPr>
        <w:t xml:space="preserve">. Their appeal in scientific machine learning is </w:t>
      </w:r>
      <w:r>
        <w:rPr>
          <w:rFonts w:ascii="Times New Roman" w:hAnsi="Times New Roman" w:cs="Times New Roman"/>
          <w:sz w:val="21"/>
          <w:szCs w:val="21"/>
          <w:lang w:val="en-US"/>
        </w:rPr>
        <w:t>accuracy</w:t>
      </w:r>
      <w:r w:rsidR="00956E03" w:rsidRPr="00956E03">
        <w:rPr>
          <w:rFonts w:ascii="Times New Roman" w:hAnsi="Times New Roman" w:cs="Times New Roman"/>
          <w:sz w:val="21"/>
          <w:szCs w:val="21"/>
          <w:lang w:val="en-US"/>
        </w:rPr>
        <w:t xml:space="preserve"> together with</w:t>
      </w:r>
      <w:r>
        <w:rPr>
          <w:rFonts w:ascii="Times New Roman" w:hAnsi="Times New Roman" w:cs="Times New Roman"/>
          <w:sz w:val="21"/>
          <w:szCs w:val="21"/>
          <w:lang w:val="en-US"/>
        </w:rPr>
        <w:t xml:space="preserve"> the possibility of more interpretable functional structure and compact representations for low-dimensional laws.</w:t>
      </w:r>
    </w:p>
    <w:p w14:paraId="2286F501" w14:textId="7F15BE62"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Physics-informed KAN variants have quickly appeared. Kolmogorov</w:t>
      </w:r>
      <w:r>
        <w:rPr>
          <w:rFonts w:ascii="Times New Roman" w:hAnsi="Times New Roman" w:cs="Times New Roman"/>
          <w:sz w:val="21"/>
          <w:szCs w:val="21"/>
          <w:lang w:val="en-US"/>
        </w:rPr>
        <w:t>–</w:t>
      </w:r>
      <w:r>
        <w:rPr>
          <w:rFonts w:ascii="Times New Roman" w:hAnsi="Times New Roman" w:cs="Times New Roman"/>
          <w:sz w:val="21"/>
          <w:szCs w:val="21"/>
          <w:lang w:val="en-US"/>
        </w:rPr>
        <w:t xml:space="preserve">Arnold-informed neural networks have been applied to forward and inverse PDE problems and compared with </w:t>
      </w:r>
      <w:r>
        <w:rPr>
          <w:rFonts w:ascii="Times New Roman" w:hAnsi="Times New Roman" w:cs="Times New Roman"/>
          <w:sz w:val="21"/>
          <w:szCs w:val="21"/>
          <w:lang w:val="en-US"/>
        </w:rPr>
        <w:t xml:space="preserve">multilayer perceptron (MLP) </w:t>
      </w:r>
      <w:r>
        <w:rPr>
          <w:rFonts w:ascii="Times New Roman" w:hAnsi="Times New Roman" w:cs="Times New Roman"/>
          <w:sz w:val="21"/>
          <w:szCs w:val="21"/>
          <w:lang w:val="en-US"/>
        </w:rPr>
        <w:t xml:space="preserve">based </w:t>
      </w:r>
      <w:r>
        <w:rPr>
          <w:rFonts w:ascii="Times New Roman" w:hAnsi="Times New Roman" w:cs="Times New Roman"/>
          <w:sz w:val="21"/>
          <w:szCs w:val="21"/>
          <w:lang w:val="en-US"/>
        </w:rPr>
        <w:lastRenderedPageBreak/>
        <w:t>PINNs</w:t>
      </w:r>
      <w:r>
        <w:rPr>
          <w:rFonts w:ascii="Times New Roman" w:hAnsi="Times New Roman" w:cs="Times New Roman"/>
          <w:sz w:val="21"/>
          <w:szCs w:val="21"/>
          <w:vertAlign w:val="superscript"/>
          <w:lang w:val="en-US"/>
        </w:rPr>
        <w:t>58</w:t>
      </w:r>
      <w:r>
        <w:rPr>
          <w:rFonts w:ascii="Times New Roman" w:hAnsi="Times New Roman" w:cs="Times New Roman"/>
          <w:sz w:val="21"/>
          <w:szCs w:val="21"/>
          <w:lang w:val="en-US"/>
        </w:rPr>
        <w:t xml:space="preserve">. Hybrid KAN-PINN formulations with augmented Lagrangian enforcement, DeepOKAN architectures for mechanics and scaled Chebyshev-based </w:t>
      </w:r>
      <w:r>
        <w:rPr>
          <w:rFonts w:ascii="Times New Roman" w:hAnsi="Times New Roman" w:cs="Times New Roman"/>
          <w:sz w:val="21"/>
          <w:szCs w:val="21"/>
          <w:lang w:val="en-US"/>
        </w:rPr>
        <w:t>physics-informed KANs (</w:t>
      </w:r>
      <w:r>
        <w:rPr>
          <w:rFonts w:ascii="Times New Roman" w:hAnsi="Times New Roman" w:cs="Times New Roman"/>
          <w:sz w:val="21"/>
          <w:szCs w:val="21"/>
          <w:lang w:val="en-US"/>
        </w:rPr>
        <w:t>PIKANs</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for oscillatory PDEs illustrate a broader pattern: KANs are being used not as a replacement for physics, but as a more expressive or interpretable basis inside physics-</w:t>
      </w:r>
      <w:r>
        <w:rPr>
          <w:rFonts w:ascii="Times New Roman" w:hAnsi="Times New Roman" w:cs="Times New Roman"/>
          <w:sz w:val="21"/>
          <w:szCs w:val="21"/>
          <w:lang w:val="en-US"/>
        </w:rPr>
        <w:t>integrated</w:t>
      </w:r>
      <w:r>
        <w:rPr>
          <w:rFonts w:ascii="Times New Roman" w:hAnsi="Times New Roman" w:cs="Times New Roman"/>
          <w:sz w:val="21"/>
          <w:szCs w:val="21"/>
          <w:lang w:val="en-US"/>
        </w:rPr>
        <w:t xml:space="preserve"> models</w:t>
      </w:r>
      <w:r>
        <w:rPr>
          <w:rFonts w:ascii="Times New Roman" w:hAnsi="Times New Roman" w:cs="Times New Roman"/>
          <w:sz w:val="21"/>
          <w:szCs w:val="21"/>
          <w:vertAlign w:val="superscript"/>
          <w:lang w:val="en-US"/>
        </w:rPr>
        <w:t>59</w:t>
      </w:r>
      <w:r>
        <w:rPr>
          <w:rFonts w:ascii="Times New Roman" w:hAnsi="Times New Roman" w:cs="Times New Roman"/>
          <w:sz w:val="21"/>
          <w:szCs w:val="21"/>
          <w:vertAlign w:val="superscript"/>
          <w:lang w:val="en-US"/>
        </w:rPr>
        <w:t>,78</w:t>
      </w:r>
      <w:r>
        <w:rPr>
          <w:rFonts w:ascii="Times New Roman" w:hAnsi="Times New Roman" w:cs="Times New Roman"/>
          <w:sz w:val="21"/>
          <w:szCs w:val="21"/>
          <w:lang w:val="en-US"/>
        </w:rPr>
        <w:t>.</w:t>
      </w:r>
    </w:p>
    <w:p w14:paraId="2E71E854" w14:textId="4F99E4A9"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The emerging body of work on physics-informed KANs and KAN-based operator models is promising, but remains at an early stage. Many current studies are still benchmark-driven, and the computational cost, numerical stability and scaling </w:t>
      </w:r>
      <w:r>
        <w:rPr>
          <w:rFonts w:ascii="Times New Roman" w:hAnsi="Times New Roman" w:cs="Times New Roman"/>
          <w:sz w:val="21"/>
          <w:szCs w:val="21"/>
          <w:lang w:val="en-US"/>
        </w:rPr>
        <w:t>behavior</w:t>
      </w:r>
      <w:r>
        <w:rPr>
          <w:rFonts w:ascii="Times New Roman" w:hAnsi="Times New Roman" w:cs="Times New Roman"/>
          <w:sz w:val="21"/>
          <w:szCs w:val="21"/>
          <w:lang w:val="en-US"/>
        </w:rPr>
        <w:t xml:space="preserve"> of KAN variants remain open questions. KANs are therefore best viewed as an important structural innovation for physics-integrated learning rather than as a settled successor to MLPs.</w:t>
      </w:r>
      <w:r>
        <w:rPr>
          <w:rFonts w:ascii="Times New Roman" w:hAnsi="Times New Roman" w:cs="Times New Roman"/>
          <w:sz w:val="21"/>
          <w:szCs w:val="21"/>
          <w:lang w:val="en-US"/>
        </w:rPr>
        <w:t xml:space="preserve"> Figure 4 distinguishes the paradigms discussed above by where the physics enters: the loss, the architecture, the latent dynamics or the learned object itself.</w:t>
      </w:r>
    </w:p>
    <w:p w14:paraId="62EAA47F" w14:textId="77777777" w:rsidR="00F256B4" w:rsidRDefault="00F256B4">
      <w:pPr>
        <w:jc w:val="both"/>
        <w:rPr>
          <w:rFonts w:ascii="Times New Roman" w:hAnsi="Times New Roman" w:cs="Times New Roman"/>
          <w:sz w:val="21"/>
          <w:szCs w:val="21"/>
          <w:lang w:val="en-US"/>
        </w:rPr>
      </w:pPr>
    </w:p>
    <w:p w14:paraId="5EB58F00" w14:textId="72FD233C" w:rsidR="00F256B4" w:rsidRDefault="00956E03">
      <w:pPr>
        <w:jc w:val="both"/>
        <w:rPr>
          <w:rFonts w:ascii="Times New Roman" w:hAnsi="Times New Roman" w:cs="Times New Roman"/>
          <w:sz w:val="21"/>
          <w:szCs w:val="21"/>
          <w:lang w:val="en-US"/>
        </w:rPr>
      </w:pPr>
      <w:r>
        <w:rPr>
          <w:rFonts w:ascii="Times New Roman" w:hAnsi="Times New Roman" w:cs="Times New Roman" w:hint="eastAsia"/>
          <w:noProof/>
          <w:sz w:val="21"/>
          <w:szCs w:val="21"/>
          <w:lang w:val="en-US"/>
        </w:rPr>
        <w:drawing>
          <wp:inline distT="0" distB="0" distL="0" distR="0" wp14:anchorId="743DB97E" wp14:editId="58CD85DB">
            <wp:extent cx="5943600" cy="3425825"/>
            <wp:effectExtent l="0" t="0" r="0" b="3175"/>
            <wp:docPr id="1055381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1373" name="图片 10553813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763BDE4B" w14:textId="77777777" w:rsidR="00F256B4" w:rsidRDefault="00F256B4">
      <w:pPr>
        <w:jc w:val="both"/>
        <w:rPr>
          <w:rFonts w:ascii="Times New Roman" w:hAnsi="Times New Roman" w:cs="Times New Roman"/>
          <w:sz w:val="21"/>
          <w:szCs w:val="21"/>
          <w:lang w:val="en-US"/>
        </w:rPr>
      </w:pPr>
    </w:p>
    <w:p w14:paraId="71CBE7A4" w14:textId="4CE0A51D"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FIG. 4. Physics-integrated learning paradigms.</w:t>
      </w:r>
      <w:r>
        <w:rPr>
          <w:rFonts w:ascii="Times New Roman" w:hAnsi="Times New Roman" w:cs="Times New Roman"/>
          <w:color w:val="000000" w:themeColor="text1"/>
          <w:sz w:val="20"/>
          <w:szCs w:val="20"/>
          <w:lang w:val="en-US"/>
        </w:rPr>
        <w:t xml:space="preserve"> Soft-constrained PINNs add equation residuals and boundary-condition penalties to the loss; hard-constrained models satisfy selected conditions by construction; neural ODEs learn continuous dynamics; and neural operators learn mappings between functions. The four paradigms are arranged along a "depth-of-embedding" axis (bottom), reflecting how deeply physics enters the model</w:t>
      </w:r>
      <w:r w:rsidR="00956E03" w:rsidRPr="00956E03">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from a soft penalty on the surface to the function space at the core. Short transition phrases between adjacent stations (soft → exact, static → dynamic, point → function) mark the qualitative shifts in how physical knowledge is encoded.</w:t>
      </w:r>
      <w:r w:rsidR="00956E03">
        <w:rPr>
          <w:rFonts w:ascii="Times New Roman" w:hAnsi="Times New Roman" w:cs="Times New Roman"/>
          <w:color w:val="000000" w:themeColor="text1"/>
          <w:sz w:val="20"/>
          <w:szCs w:val="20"/>
          <w:lang w:val="en-US"/>
        </w:rPr>
        <w:t xml:space="preserve"> Abbreviations appearing inside the figure: PINN, physics-informed neural network; ODE, ordinary differential equation; PDE, partial differential equation; BC, boundary condition; FNO, Fourier neural operator; DeepONet, deep operator network; OOD, out of distribution.</w:t>
      </w:r>
    </w:p>
    <w:p w14:paraId="36827D48"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E. Agentic scientific machine learning</w:t>
      </w:r>
    </w:p>
    <w:p w14:paraId="470D12FD" w14:textId="5DE613D0"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Agentic AI is emerging as a workflow layer for scientific discovery rather than as a new neural architecture. In scientific machine learning, agentic systems can propose hypotheses, write code, run simulations, evaluate results and iterate. AgenticSciML specifically frames multi-agent collaboration for scientific-machine-learning design in a Nature Portfolio </w:t>
      </w:r>
      <w:r>
        <w:rPr>
          <w:rFonts w:ascii="Times New Roman" w:hAnsi="Times New Roman" w:cs="Times New Roman"/>
          <w:sz w:val="21"/>
          <w:szCs w:val="21"/>
          <w:lang w:val="en-US"/>
        </w:rPr>
        <w:t>venue</w:t>
      </w:r>
      <w:r>
        <w:rPr>
          <w:rFonts w:ascii="Times New Roman" w:hAnsi="Times New Roman" w:cs="Times New Roman"/>
          <w:sz w:val="21"/>
          <w:szCs w:val="21"/>
          <w:vertAlign w:val="superscript"/>
          <w:lang w:val="en-US"/>
        </w:rPr>
        <w:t>79</w:t>
      </w:r>
      <w:r>
        <w:rPr>
          <w:rFonts w:ascii="Times New Roman" w:hAnsi="Times New Roman" w:cs="Times New Roman"/>
          <w:sz w:val="21"/>
          <w:szCs w:val="21"/>
          <w:lang w:val="en-US"/>
        </w:rPr>
        <w:t>.</w:t>
      </w:r>
    </w:p>
    <w:p w14:paraId="5B9E59F6" w14:textId="16B8DE9C"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These systems could change how physics-integrated models are designed. An agentic </w:t>
      </w:r>
      <w:r>
        <w:rPr>
          <w:rFonts w:ascii="Times New Roman" w:hAnsi="Times New Roman" w:cs="Times New Roman"/>
          <w:sz w:val="21"/>
          <w:szCs w:val="21"/>
          <w:lang w:val="en-US"/>
        </w:rPr>
        <w:t>scientific machine-learning</w:t>
      </w:r>
      <w:r>
        <w:rPr>
          <w:rFonts w:ascii="Times New Roman" w:hAnsi="Times New Roman" w:cs="Times New Roman"/>
          <w:sz w:val="21"/>
          <w:szCs w:val="21"/>
          <w:lang w:val="en-US"/>
        </w:rPr>
        <w:t xml:space="preserve"> workflow could search over equations, constraints, neural operators, sampling strategies and validation </w:t>
      </w:r>
      <w:r>
        <w:rPr>
          <w:rFonts w:ascii="Times New Roman" w:hAnsi="Times New Roman" w:cs="Times New Roman"/>
          <w:sz w:val="21"/>
          <w:szCs w:val="21"/>
          <w:lang w:val="en-US"/>
        </w:rPr>
        <w:lastRenderedPageBreak/>
        <w:t xml:space="preserve">tests. The risk is equally important: automated discovery can amplify weak benchmarks, unverified physical claims or citation errors. Agentic AI must therefore be grounded in reproducible simulation, physical validation and human scientific </w:t>
      </w:r>
      <w:r w:rsidR="00956E03">
        <w:rPr>
          <w:rFonts w:ascii="Times New Roman" w:hAnsi="Times New Roman" w:cs="Times New Roman"/>
          <w:sz w:val="21"/>
          <w:szCs w:val="21"/>
          <w:lang w:val="en-US"/>
        </w:rPr>
        <w:t>judgment</w:t>
      </w:r>
      <w:r>
        <w:rPr>
          <w:rFonts w:ascii="Times New Roman" w:hAnsi="Times New Roman" w:cs="Times New Roman"/>
          <w:sz w:val="21"/>
          <w:szCs w:val="21"/>
          <w:lang w:val="en-US"/>
        </w:rPr>
        <w:t>.</w:t>
      </w:r>
    </w:p>
    <w:p w14:paraId="64EE1B57" w14:textId="77777777"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V. CONVERGENCE OF SUBSTRATES AND CONSTRAINTS</w:t>
      </w:r>
    </w:p>
    <w:p w14:paraId="1D9BC4CE" w14:textId="440B4FE8"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Physical </w:t>
      </w:r>
      <w:r>
        <w:rPr>
          <w:rFonts w:ascii="Times New Roman" w:hAnsi="Times New Roman" w:cs="Times New Roman"/>
          <w:sz w:val="21"/>
          <w:szCs w:val="21"/>
          <w:lang w:val="en-US"/>
        </w:rPr>
        <w:t>neural networks</w:t>
      </w:r>
      <w:r>
        <w:rPr>
          <w:rFonts w:ascii="Times New Roman" w:hAnsi="Times New Roman" w:cs="Times New Roman"/>
          <w:sz w:val="21"/>
          <w:szCs w:val="21"/>
          <w:lang w:val="en-US"/>
        </w:rPr>
        <w:t xml:space="preserve"> and physics</w:t>
      </w:r>
      <w:r>
        <w:rPr>
          <w:rFonts w:ascii="Times New Roman" w:hAnsi="Times New Roman" w:cs="Times New Roman"/>
          <w:sz w:val="21"/>
          <w:szCs w:val="21"/>
          <w:lang w:val="en-US"/>
        </w:rPr>
        <w:t>-integrated learning</w:t>
      </w:r>
      <w:r>
        <w:rPr>
          <w:rFonts w:ascii="Times New Roman" w:hAnsi="Times New Roman" w:cs="Times New Roman"/>
          <w:sz w:val="21"/>
          <w:szCs w:val="21"/>
          <w:lang w:val="en-US"/>
        </w:rPr>
        <w:t xml:space="preserve"> are often discussed separately, but their </w:t>
      </w:r>
      <w:r w:rsidR="00956E03" w:rsidRPr="00956E03">
        <w:rPr>
          <w:rFonts w:ascii="Times New Roman" w:hAnsi="Times New Roman" w:cs="Times New Roman"/>
          <w:sz w:val="21"/>
          <w:szCs w:val="21"/>
          <w:lang w:val="en-US"/>
        </w:rPr>
        <w:t>convergence is the case of interest</w:t>
      </w:r>
      <w:r>
        <w:rPr>
          <w:rFonts w:ascii="Times New Roman" w:hAnsi="Times New Roman" w:cs="Times New Roman"/>
          <w:sz w:val="21"/>
          <w:szCs w:val="21"/>
          <w:lang w:val="en-US"/>
        </w:rPr>
        <w:t>. Physical substrates need physics-aware training because their non-idealities are not incidental: they are the computation. Optical systems need to account for shot noise, loss, drift and conversion</w:t>
      </w:r>
      <w:r>
        <w:rPr>
          <w:rFonts w:ascii="Times New Roman" w:hAnsi="Times New Roman" w:cs="Times New Roman"/>
          <w:sz w:val="21"/>
          <w:szCs w:val="21"/>
          <w:vertAlign w:val="superscript"/>
          <w:lang w:val="en-US"/>
        </w:rPr>
        <w:t>14-17</w:t>
      </w:r>
      <w:r>
        <w:rPr>
          <w:rFonts w:ascii="Times New Roman" w:hAnsi="Times New Roman" w:cs="Times New Roman"/>
          <w:sz w:val="21"/>
          <w:szCs w:val="21"/>
          <w:lang w:val="en-US"/>
        </w:rPr>
        <w:t>;</w:t>
      </w:r>
      <w:r>
        <w:rPr>
          <w:rFonts w:ascii="Times New Roman" w:hAnsi="Times New Roman" w:cs="Times New Roman" w:hint="eastAsia"/>
          <w:sz w:val="21"/>
          <w:szCs w:val="21"/>
          <w:lang w:val="en-US"/>
        </w:rPr>
        <w:t xml:space="preserve"> </w:t>
      </w:r>
      <w:r>
        <w:rPr>
          <w:rFonts w:ascii="Times New Roman" w:hAnsi="Times New Roman" w:cs="Times New Roman"/>
          <w:sz w:val="21"/>
          <w:szCs w:val="21"/>
          <w:lang w:val="en-US"/>
        </w:rPr>
        <w:t>quantum systems face noise, measurement and trainability limits</w:t>
      </w:r>
      <w:r>
        <w:rPr>
          <w:rFonts w:ascii="Times New Roman" w:hAnsi="Times New Roman" w:cs="Times New Roman"/>
          <w:sz w:val="21"/>
          <w:szCs w:val="21"/>
          <w:vertAlign w:val="superscript"/>
          <w:lang w:val="en-US"/>
        </w:rPr>
        <w:t>20-26</w:t>
      </w:r>
      <w:r>
        <w:rPr>
          <w:rFonts w:ascii="Times New Roman" w:hAnsi="Times New Roman" w:cs="Times New Roman"/>
          <w:sz w:val="21"/>
          <w:szCs w:val="21"/>
          <w:lang w:val="en-US"/>
        </w:rPr>
        <w:t>; memristive systems are shaped by conductance variability and update asymmetry</w:t>
      </w:r>
      <w:r>
        <w:rPr>
          <w:rFonts w:ascii="Times New Roman" w:hAnsi="Times New Roman" w:cs="Times New Roman"/>
          <w:sz w:val="21"/>
          <w:szCs w:val="21"/>
          <w:vertAlign w:val="superscript"/>
          <w:lang w:val="en-US"/>
        </w:rPr>
        <w:t>29-34</w:t>
      </w:r>
      <w:r>
        <w:rPr>
          <w:rFonts w:ascii="Times New Roman" w:hAnsi="Times New Roman" w:cs="Times New Roman"/>
          <w:sz w:val="21"/>
          <w:szCs w:val="21"/>
          <w:lang w:val="en-US"/>
        </w:rPr>
        <w:t>; and biomolecular systems are constrained by kinetics, crosstalk and resource sharing</w:t>
      </w:r>
      <w:r>
        <w:rPr>
          <w:rFonts w:ascii="Times New Roman" w:hAnsi="Times New Roman" w:cs="Times New Roman"/>
          <w:sz w:val="21"/>
          <w:szCs w:val="21"/>
          <w:vertAlign w:val="superscript"/>
          <w:lang w:val="en-US"/>
        </w:rPr>
        <w:t>35-39</w:t>
      </w:r>
      <w:r>
        <w:rPr>
          <w:rFonts w:ascii="Times New Roman" w:hAnsi="Times New Roman" w:cs="Times New Roman"/>
          <w:sz w:val="21"/>
          <w:szCs w:val="21"/>
          <w:lang w:val="en-US"/>
        </w:rPr>
        <w:t>.</w:t>
      </w:r>
      <w:r>
        <w:rPr>
          <w:rFonts w:ascii="Times New Roman" w:hAnsi="Times New Roman" w:cs="Times New Roman"/>
          <w:sz w:val="21"/>
          <w:szCs w:val="21"/>
          <w:lang w:val="en-US"/>
        </w:rPr>
        <w:t xml:space="preserve"> Figure 5 shows the resulting workflow, in which substrate, learning rule and physical law are designed and validated together.</w:t>
      </w:r>
    </w:p>
    <w:p w14:paraId="7BD9D166"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hint="eastAsia"/>
          <w:noProof/>
          <w:sz w:val="21"/>
          <w:szCs w:val="21"/>
          <w:lang w:val="en-US"/>
        </w:rPr>
        <w:drawing>
          <wp:inline distT="0" distB="0" distL="114300" distR="114300" wp14:anchorId="2E3BD6D3" wp14:editId="48AD2F99">
            <wp:extent cx="5942330" cy="4333875"/>
            <wp:effectExtent l="0" t="0" r="1270" b="9525"/>
            <wp:docPr id="3" name="图片 3" descr="Circular workflow diagram with five stations - physical substrate, digital twin, validation tests, agentic design tools and physical law - arranged around a central node labeled physically grounded neural network. Arrows between adjacent stations are labeled measure, predict, report, propose and instruct, so that measured device response feeds the twin, the twin proposes candidate models, validation reports metrics and failure modes, and the physical law constrains the subst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ircular workflow diagram with five stations - physical substrate, digital twin, validation tests, agentic design tools and physical law - arranged around a central node labeled physically grounded neural network. Arrows between adjacent stations are labeled measure, predict, report, propose and instruct, so that measured device response feeds the twin, the twin proposes candidate models, validation reports metrics and failure modes, and the physical law constrains the substrate."/>
                    <pic:cNvPicPr>
                      <a:picLocks noChangeAspect="1"/>
                    </pic:cNvPicPr>
                  </pic:nvPicPr>
                  <pic:blipFill>
                    <a:blip r:embed="rId18"/>
                    <a:stretch>
                      <a:fillRect/>
                    </a:stretch>
                  </pic:blipFill>
                  <pic:spPr>
                    <a:xfrm>
                      <a:off x="0" y="0"/>
                      <a:ext cx="5942330" cy="4333875"/>
                    </a:xfrm>
                    <a:prstGeom prst="rect">
                      <a:avLst/>
                    </a:prstGeom>
                  </pic:spPr>
                </pic:pic>
              </a:graphicData>
            </a:graphic>
          </wp:inline>
        </w:drawing>
      </w:r>
    </w:p>
    <w:p w14:paraId="6E432997" w14:textId="70B6D48E"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 xml:space="preserve">FIG. 5. </w:t>
      </w:r>
      <w:r>
        <w:rPr>
          <w:rFonts w:ascii="Times New Roman" w:hAnsi="Times New Roman" w:cs="Times New Roman"/>
          <w:b/>
          <w:bCs/>
          <w:color w:val="000000" w:themeColor="text1"/>
          <w:sz w:val="20"/>
          <w:szCs w:val="20"/>
          <w:lang w:val="en-US"/>
        </w:rPr>
        <w:t>Proposed convergent</w:t>
      </w:r>
      <w:r>
        <w:rPr>
          <w:rFonts w:ascii="Times New Roman" w:hAnsi="Times New Roman" w:cs="Times New Roman"/>
          <w:b/>
          <w:bCs/>
          <w:color w:val="000000" w:themeColor="text1"/>
          <w:sz w:val="20"/>
          <w:szCs w:val="20"/>
          <w:lang w:val="en-US"/>
        </w:rPr>
        <w:t xml:space="preserve"> workflow for physically grounded </w:t>
      </w:r>
      <w:r>
        <w:rPr>
          <w:rFonts w:ascii="Times New Roman" w:hAnsi="Times New Roman" w:cs="Times New Roman"/>
          <w:b/>
          <w:bCs/>
          <w:color w:val="000000" w:themeColor="text1"/>
          <w:sz w:val="20"/>
          <w:szCs w:val="20"/>
          <w:lang w:val="en-US"/>
        </w:rPr>
        <w:t>neural networks</w:t>
      </w:r>
      <w:r>
        <w:rPr>
          <w:rFonts w:ascii="Times New Roman" w:hAnsi="Times New Roman" w:cs="Times New Roman"/>
          <w:b/>
          <w:bCs/>
          <w:color w:val="000000" w:themeColor="text1"/>
          <w:sz w:val="20"/>
          <w:szCs w:val="20"/>
          <w:lang w:val="en-US"/>
        </w:rPr>
        <w:t>.</w:t>
      </w:r>
      <w:r>
        <w:rPr>
          <w:rFonts w:ascii="Times New Roman" w:hAnsi="Times New Roman" w:cs="Times New Roman"/>
          <w:color w:val="000000" w:themeColor="text1"/>
          <w:sz w:val="20"/>
          <w:szCs w:val="20"/>
          <w:lang w:val="en-US"/>
        </w:rPr>
        <w:t xml:space="preserve"> Physical substrates, differentiable digital twins, scientific laws, validation tests and agentic design tools </w:t>
      </w:r>
      <w:r>
        <w:rPr>
          <w:rFonts w:ascii="Times New Roman" w:hAnsi="Times New Roman" w:cs="Times New Roman"/>
          <w:color w:val="000000" w:themeColor="text1"/>
          <w:sz w:val="20"/>
          <w:szCs w:val="20"/>
          <w:lang w:val="en-US"/>
        </w:rPr>
        <w:t xml:space="preserve">would </w:t>
      </w:r>
      <w:r>
        <w:rPr>
          <w:rFonts w:ascii="Times New Roman" w:hAnsi="Times New Roman" w:cs="Times New Roman"/>
          <w:color w:val="000000" w:themeColor="text1"/>
          <w:sz w:val="20"/>
          <w:szCs w:val="20"/>
          <w:lang w:val="en-US"/>
        </w:rPr>
        <w:t xml:space="preserve">form a closed workflow. In this view, the substrate, learning rule and physical law are designed and validated as one system. The five stations are connected by named information flows </w:t>
      </w:r>
      <w:r w:rsidR="00956E03" w:rsidRPr="00956E03">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measure, predict, report, propose and instruct</w:t>
      </w:r>
      <w:r w:rsidR="00956E03" w:rsidRPr="00956E03">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 xml:space="preserve"> each carrying a specific payload. </w:t>
      </w:r>
      <w:r>
        <w:rPr>
          <w:rFonts w:ascii="Times New Roman" w:hAnsi="Times New Roman" w:cs="Times New Roman"/>
          <w:color w:val="000000" w:themeColor="text1"/>
          <w:sz w:val="20"/>
          <w:szCs w:val="20"/>
          <w:lang w:val="en-US"/>
        </w:rPr>
        <w:t>Abbreviations appearing inside the figure: OOD, out of distribution; LLM, large language model</w:t>
      </w:r>
      <w:r>
        <w:rPr>
          <w:rFonts w:ascii="Times New Roman" w:hAnsi="Times New Roman" w:cs="Times New Roman"/>
          <w:color w:val="000000" w:themeColor="text1"/>
          <w:sz w:val="20"/>
          <w:szCs w:val="20"/>
          <w:lang w:val="en-US"/>
        </w:rPr>
        <w:t>.</w:t>
      </w:r>
    </w:p>
    <w:p w14:paraId="219F8982" w14:textId="77777777" w:rsidR="00F256B4" w:rsidRDefault="00F256B4">
      <w:pPr>
        <w:jc w:val="both"/>
        <w:rPr>
          <w:rFonts w:ascii="Times New Roman" w:hAnsi="Times New Roman" w:cs="Times New Roman"/>
          <w:sz w:val="20"/>
          <w:szCs w:val="20"/>
          <w:lang w:val="en-US"/>
        </w:rPr>
      </w:pPr>
    </w:p>
    <w:p w14:paraId="006AF940" w14:textId="2BAAA4F3"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Physics-integrated models also need specialized hardware. Neural operators, differentiable simulators and large physical surrogate models require repeated evaluation of high-dimensional fields, differential operators and parameterized solution maps</w:t>
      </w:r>
      <w:r>
        <w:rPr>
          <w:rFonts w:ascii="Times New Roman" w:hAnsi="Times New Roman" w:cs="Times New Roman"/>
          <w:sz w:val="21"/>
          <w:szCs w:val="21"/>
          <w:vertAlign w:val="superscript"/>
          <w:lang w:val="en-US"/>
        </w:rPr>
        <w:t>53-</w:t>
      </w:r>
      <w:r>
        <w:rPr>
          <w:rFonts w:ascii="Times New Roman" w:hAnsi="Times New Roman" w:cs="Times New Roman"/>
          <w:sz w:val="21"/>
          <w:szCs w:val="21"/>
          <w:vertAlign w:val="superscript"/>
          <w:lang w:val="en-US"/>
        </w:rPr>
        <w:t>59,76,78</w:t>
      </w:r>
      <w:r>
        <w:rPr>
          <w:rFonts w:ascii="Times New Roman" w:hAnsi="Times New Roman" w:cs="Times New Roman"/>
          <w:sz w:val="21"/>
          <w:szCs w:val="21"/>
          <w:lang w:val="en-US"/>
        </w:rPr>
        <w:t>. Optical accelerators, in-memory arrays and neuromorphic systems may eventually support parts of this workload, but only if the hardware is evaluated with full-stack metrics rather than device-level arithmetic alone.</w:t>
      </w:r>
    </w:p>
    <w:p w14:paraId="22E8C87F" w14:textId="2ADC3473"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lastRenderedPageBreak/>
        <w:t xml:space="preserve">Stated precisely, convergence in the sense defined in Sec. I requires two things at once: that the </w:t>
      </w:r>
      <w:r w:rsidR="007B320B" w:rsidRPr="007B320B">
        <w:rPr>
          <w:rFonts w:ascii="Times New Roman" w:hAnsi="Times New Roman" w:cs="Times New Roman"/>
          <w:sz w:val="21"/>
          <w:szCs w:val="21"/>
          <w:lang w:val="en-US"/>
        </w:rPr>
        <w:t>non-idealitie</w:t>
      </w:r>
      <w:r>
        <w:rPr>
          <w:rFonts w:ascii="Times New Roman" w:hAnsi="Times New Roman" w:cs="Times New Roman"/>
          <w:sz w:val="21"/>
          <w:szCs w:val="21"/>
          <w:lang w:val="en-US"/>
        </w:rPr>
        <w:t xml:space="preserve">s of the computing substrate </w:t>
      </w:r>
      <w:r w:rsidR="007B320B" w:rsidRPr="007B320B">
        <w:rPr>
          <w:rFonts w:ascii="Times New Roman" w:hAnsi="Times New Roman" w:cs="Times New Roman"/>
          <w:sz w:val="21"/>
          <w:szCs w:val="21"/>
          <w:lang w:val="en-US"/>
        </w:rPr>
        <w:t>be accounted for, explicitly through a model or implicitly through hardware-in-</w:t>
      </w:r>
      <w:r>
        <w:rPr>
          <w:rFonts w:ascii="Times New Roman" w:hAnsi="Times New Roman" w:cs="Times New Roman"/>
          <w:sz w:val="21"/>
          <w:szCs w:val="21"/>
          <w:lang w:val="en-US"/>
        </w:rPr>
        <w:t>the</w:t>
      </w:r>
      <w:r w:rsidR="007B320B" w:rsidRPr="007B320B">
        <w:rPr>
          <w:rFonts w:ascii="Times New Roman" w:hAnsi="Times New Roman" w:cs="Times New Roman"/>
          <w:sz w:val="21"/>
          <w:szCs w:val="21"/>
          <w:lang w:val="en-US"/>
        </w:rPr>
        <w:t>-loop training or calibration</w:t>
      </w:r>
      <w:r>
        <w:rPr>
          <w:rFonts w:ascii="Times New Roman" w:hAnsi="Times New Roman" w:cs="Times New Roman"/>
          <w:sz w:val="21"/>
          <w:szCs w:val="21"/>
          <w:lang w:val="en-US"/>
        </w:rPr>
        <w:t>, and that the physical laws governing the target domain constrain the learned model. Most of the literature reviewed above meets these requirements separately. Physics-aware training of optical, memristive and biomolecular hardware brings substrate physics fully into the loop, but the benchmarks addressed are classification and regression tasks that carry no governing law to impose</w:t>
      </w:r>
      <w:r>
        <w:rPr>
          <w:rFonts w:ascii="Times New Roman" w:hAnsi="Times New Roman" w:cs="Times New Roman"/>
          <w:sz w:val="21"/>
          <w:szCs w:val="21"/>
          <w:vertAlign w:val="superscript"/>
          <w:lang w:val="en-US"/>
        </w:rPr>
        <w:t>14,16,31-34</w:t>
      </w:r>
      <w:r>
        <w:rPr>
          <w:rFonts w:ascii="Times New Roman" w:hAnsi="Times New Roman" w:cs="Times New Roman"/>
          <w:sz w:val="21"/>
          <w:szCs w:val="21"/>
          <w:lang w:val="en-US"/>
        </w:rPr>
        <w:t>; conservation-aware architectures, neural differential models and residual-constrained operator learning impose the governing law on the hypothesis space, but execute on digital hardware whose own physics is deliberately hidden from the model</w:t>
      </w:r>
      <w:r>
        <w:rPr>
          <w:rFonts w:ascii="Times New Roman" w:hAnsi="Times New Roman" w:cs="Times New Roman"/>
          <w:sz w:val="21"/>
          <w:szCs w:val="21"/>
          <w:vertAlign w:val="superscript"/>
          <w:lang w:val="en-US"/>
        </w:rPr>
        <w:t>50,53-59,76,78</w:t>
      </w:r>
      <w:r>
        <w:rPr>
          <w:rFonts w:ascii="Times New Roman" w:hAnsi="Times New Roman" w:cs="Times New Roman"/>
          <w:sz w:val="21"/>
          <w:szCs w:val="21"/>
          <w:lang w:val="en-US"/>
        </w:rPr>
        <w:t xml:space="preserve">. Two demonstrations now sit in the intersection, and it is more useful to say where each of them falls short than to report the intersection as empty. In the first, a physics-informed network was trained in situ on a photonic microring weight bank by zeroth-order optimization, so that the loss remained a partial-differential-equation residual while fabrication error and environmental drift were absorbed by a forward-only training loop; a one-dimensional heat equation was solved to a </w:t>
      </w:r>
      <w:r w:rsidR="004D30A4" w:rsidRPr="004D30A4">
        <w:rPr>
          <w:rFonts w:ascii="Times New Roman" w:hAnsi="Times New Roman" w:cs="Times New Roman"/>
          <w:sz w:val="21"/>
          <w:szCs w:val="21"/>
          <w:lang w:val="en-US"/>
        </w:rPr>
        <w:t>relative</w:t>
      </w:r>
      <w:r>
        <w:rPr>
          <w:rFonts w:ascii="Times New Roman" w:hAnsi="Times New Roman" w:cs="Times New Roman"/>
          <w:sz w:val="21"/>
          <w:szCs w:val="21"/>
          <w:lang w:val="en-US"/>
        </w:rPr>
        <w:t xml:space="preserve"> error of about 5 × 10</w:t>
      </w:r>
      <w:r>
        <w:rPr>
          <w:rFonts w:ascii="Times New Roman" w:hAnsi="Times New Roman" w:cs="Times New Roman"/>
          <w:sz w:val="21"/>
          <w:szCs w:val="21"/>
          <w:vertAlign w:val="superscript"/>
          <w:lang w:val="en-US"/>
        </w:rPr>
        <w:t>−3</w:t>
      </w:r>
      <w:r>
        <w:rPr>
          <w:rFonts w:ascii="Times New Roman" w:hAnsi="Times New Roman" w:cs="Times New Roman"/>
          <w:sz w:val="21"/>
          <w:szCs w:val="21"/>
          <w:lang w:val="en-US"/>
        </w:rPr>
        <w:t xml:space="preserve"> on four tunable devices</w:t>
      </w:r>
      <w:r>
        <w:rPr>
          <w:rFonts w:ascii="Times New Roman" w:hAnsi="Times New Roman" w:cs="Times New Roman"/>
          <w:sz w:val="21"/>
          <w:szCs w:val="21"/>
          <w:vertAlign w:val="superscript"/>
          <w:lang w:val="en-US"/>
        </w:rPr>
        <w:t>80</w:t>
      </w:r>
      <w:r>
        <w:rPr>
          <w:rFonts w:ascii="Times New Roman" w:hAnsi="Times New Roman" w:cs="Times New Roman"/>
          <w:sz w:val="21"/>
          <w:szCs w:val="21"/>
          <w:lang w:val="en-US"/>
        </w:rPr>
        <w:t xml:space="preserve">. Because the scheme is deliberately calibration-free, the non-idealities are </w:t>
      </w:r>
      <w:r w:rsidR="007B320B" w:rsidRPr="007B320B">
        <w:rPr>
          <w:rFonts w:ascii="Times New Roman" w:hAnsi="Times New Roman" w:cs="Times New Roman"/>
          <w:sz w:val="21"/>
          <w:szCs w:val="21"/>
          <w:lang w:val="en-US"/>
        </w:rPr>
        <w:t xml:space="preserve">absorbed by the training loop rather than modeled explicitly, and </w:t>
      </w:r>
      <w:r w:rsidR="004D30A4" w:rsidRPr="004D30A4">
        <w:rPr>
          <w:rFonts w:ascii="Times New Roman" w:hAnsi="Times New Roman" w:cs="Times New Roman"/>
          <w:sz w:val="21"/>
          <w:szCs w:val="21"/>
          <w:lang w:val="en-US"/>
        </w:rPr>
        <w:t xml:space="preserve">the demonstration remains at </w:t>
      </w:r>
      <w:r w:rsidR="007B320B" w:rsidRPr="007B320B">
        <w:rPr>
          <w:rFonts w:ascii="Times New Roman" w:hAnsi="Times New Roman" w:cs="Times New Roman"/>
          <w:sz w:val="21"/>
          <w:szCs w:val="21"/>
          <w:lang w:val="en-US"/>
        </w:rPr>
        <w:t xml:space="preserve">four </w:t>
      </w:r>
      <w:r w:rsidR="004D30A4" w:rsidRPr="004D30A4">
        <w:rPr>
          <w:rFonts w:ascii="Times New Roman" w:hAnsi="Times New Roman" w:cs="Times New Roman"/>
          <w:sz w:val="21"/>
          <w:szCs w:val="21"/>
          <w:lang w:val="en-US"/>
        </w:rPr>
        <w:t>tunable device</w:t>
      </w:r>
      <w:r w:rsidR="007B320B" w:rsidRPr="007B320B">
        <w:rPr>
          <w:rFonts w:ascii="Times New Roman" w:hAnsi="Times New Roman" w:cs="Times New Roman"/>
          <w:sz w:val="21"/>
          <w:szCs w:val="21"/>
          <w:lang w:val="en-US"/>
        </w:rPr>
        <w:t xml:space="preserve">s, </w:t>
      </w:r>
      <w:r>
        <w:rPr>
          <w:rFonts w:ascii="Times New Roman" w:hAnsi="Times New Roman" w:cs="Times New Roman"/>
          <w:sz w:val="21"/>
          <w:szCs w:val="21"/>
          <w:lang w:val="en-US"/>
        </w:rPr>
        <w:t>two orders of magnitude below the optical scale reported in Table II. In the second, a Fourier neural operator was trained with its fixed spectral transform executed in situ on eight memristor chips and its tunable weights updated off-chip, solving the one-dimensional Burgers equation to an accuracy of 99.6% against 99.8% for a digital baseline, and extending to a three-dimensional thermal conduction problem</w:t>
      </w:r>
      <w:r>
        <w:rPr>
          <w:rFonts w:ascii="Times New Roman" w:hAnsi="Times New Roman" w:cs="Times New Roman"/>
          <w:sz w:val="21"/>
          <w:szCs w:val="21"/>
          <w:vertAlign w:val="superscript"/>
          <w:lang w:val="en-US"/>
        </w:rPr>
        <w:t>81</w:t>
      </w:r>
      <w:r>
        <w:rPr>
          <w:rFonts w:ascii="Times New Roman" w:hAnsi="Times New Roman" w:cs="Times New Roman"/>
          <w:sz w:val="21"/>
          <w:szCs w:val="21"/>
          <w:lang w:val="en-US"/>
        </w:rPr>
        <w:t xml:space="preserve">. Here the analog error genuinely enters the training loop, but the governing equation is not imposed on the model: the operator is learned from solution data, and the engineering effort </w:t>
      </w:r>
      <w:r w:rsidR="00956E03" w:rsidRPr="00956E03">
        <w:rPr>
          <w:rFonts w:ascii="Times New Roman" w:hAnsi="Times New Roman" w:cs="Times New Roman"/>
          <w:sz w:val="21"/>
          <w:szCs w:val="21"/>
          <w:lang w:val="en-US"/>
        </w:rPr>
        <w:t>(</w:t>
      </w:r>
      <w:r>
        <w:rPr>
          <w:rFonts w:ascii="Times New Roman" w:hAnsi="Times New Roman" w:cs="Times New Roman"/>
          <w:sz w:val="21"/>
          <w:szCs w:val="21"/>
          <w:lang w:val="en-US"/>
        </w:rPr>
        <w:t>exponent pre-alignment and mixed-state conductance mapping to recover floating-point precision</w:t>
      </w:r>
      <w:r w:rsidR="00956E03" w:rsidRPr="00956E03">
        <w:rPr>
          <w:rFonts w:ascii="Times New Roman" w:hAnsi="Times New Roman" w:cs="Times New Roman"/>
          <w:sz w:val="21"/>
          <w:szCs w:val="21"/>
          <w:lang w:val="en-US"/>
        </w:rPr>
        <w:t>)</w:t>
      </w:r>
      <w:r>
        <w:rPr>
          <w:rFonts w:ascii="Times New Roman" w:hAnsi="Times New Roman" w:cs="Times New Roman"/>
          <w:sz w:val="21"/>
          <w:szCs w:val="21"/>
          <w:lang w:val="en-US"/>
        </w:rPr>
        <w:t xml:space="preserve"> is directed at removing the substrate physics rather than at representing it. We take the two cases to exhibit the same trade-off from opposite sides, and in our view the mechanism is the compatibility requirement stated in Sec. I. Imposing a differential-equation residual requires derivatives of the network output with respect to its inputs, which a physical forward pass does not supply; they must come either from a differentiable twin, in which case the law constrains the twin and not the physical map, or from finite-difference or Stein estimation, whose accuracy is bounded by the effective precision of the substrate, and in the photonic case a</w:t>
      </w:r>
      <w:r w:rsidR="004D30A4" w:rsidRPr="004D30A4">
        <w:rPr>
          <w:rFonts w:ascii="Times New Roman" w:hAnsi="Times New Roman" w:cs="Times New Roman"/>
          <w:sz w:val="21"/>
          <w:szCs w:val="21"/>
          <w:lang w:val="en-US"/>
        </w:rPr>
        <w:t>n</w:t>
      </w:r>
      <w:r w:rsidR="007B320B" w:rsidRPr="007B320B">
        <w:rPr>
          <w:rFonts w:ascii="Times New Roman" w:hAnsi="Times New Roman" w:cs="Times New Roman"/>
          <w:sz w:val="21"/>
          <w:szCs w:val="21"/>
          <w:lang w:val="en-US"/>
        </w:rPr>
        <w:t xml:space="preserve"> effective precision of eight bits was already insufficient for the governing equation to be learned at all</w:t>
      </w:r>
      <w:r>
        <w:rPr>
          <w:rFonts w:ascii="Times New Roman" w:hAnsi="Times New Roman" w:cs="Times New Roman"/>
          <w:sz w:val="21"/>
          <w:szCs w:val="21"/>
          <w:vertAlign w:val="superscript"/>
          <w:lang w:val="en-US"/>
        </w:rPr>
        <w:t>80</w:t>
      </w:r>
      <w:r>
        <w:rPr>
          <w:rFonts w:ascii="Times New Roman" w:hAnsi="Times New Roman" w:cs="Times New Roman"/>
          <w:sz w:val="21"/>
          <w:szCs w:val="21"/>
          <w:lang w:val="en-US"/>
        </w:rPr>
        <w:t xml:space="preserve">. Taking the operator-learning route relaxes that requirement, but only by demanding near floating-point output, so that the design effort is spent suppressing the very non-idealities that the first condition asks to be represented. </w:t>
      </w:r>
      <w:r w:rsidR="007B320B" w:rsidRPr="007B320B">
        <w:rPr>
          <w:rFonts w:ascii="Times New Roman" w:hAnsi="Times New Roman" w:cs="Times New Roman"/>
          <w:sz w:val="21"/>
          <w:szCs w:val="21"/>
          <w:lang w:val="en-US"/>
        </w:rPr>
        <w:t>In each of the two cases examined</w:t>
      </w:r>
      <w:r>
        <w:rPr>
          <w:rFonts w:ascii="Times New Roman" w:hAnsi="Times New Roman" w:cs="Times New Roman"/>
          <w:sz w:val="21"/>
          <w:szCs w:val="21"/>
          <w:lang w:val="en-US"/>
        </w:rPr>
        <w:t xml:space="preserve">, </w:t>
      </w:r>
      <w:r w:rsidR="007B320B" w:rsidRPr="007B320B">
        <w:rPr>
          <w:rFonts w:ascii="Times New Roman" w:hAnsi="Times New Roman" w:cs="Times New Roman"/>
          <w:sz w:val="21"/>
          <w:szCs w:val="21"/>
          <w:lang w:val="en-US"/>
        </w:rPr>
        <w:t>impos</w:t>
      </w:r>
      <w:r>
        <w:rPr>
          <w:rFonts w:ascii="Times New Roman" w:hAnsi="Times New Roman" w:cs="Times New Roman"/>
          <w:sz w:val="21"/>
          <w:szCs w:val="21"/>
          <w:lang w:val="en-US"/>
        </w:rPr>
        <w:t xml:space="preserve">ing the law </w:t>
      </w:r>
      <w:r w:rsidR="007B320B" w:rsidRPr="007B320B">
        <w:rPr>
          <w:rFonts w:ascii="Times New Roman" w:hAnsi="Times New Roman" w:cs="Times New Roman"/>
          <w:sz w:val="21"/>
          <w:szCs w:val="21"/>
          <w:lang w:val="en-US"/>
        </w:rPr>
        <w:t>has cost</w:t>
      </w:r>
      <w:r>
        <w:rPr>
          <w:rFonts w:ascii="Times New Roman" w:hAnsi="Times New Roman" w:cs="Times New Roman"/>
          <w:sz w:val="21"/>
          <w:szCs w:val="21"/>
          <w:lang w:val="en-US"/>
        </w:rPr>
        <w:t xml:space="preserve"> precision and scale, and </w:t>
      </w:r>
      <w:r w:rsidR="007B320B" w:rsidRPr="007B320B">
        <w:rPr>
          <w:rFonts w:ascii="Times New Roman" w:hAnsi="Times New Roman" w:cs="Times New Roman"/>
          <w:sz w:val="21"/>
          <w:szCs w:val="21"/>
          <w:lang w:val="en-US"/>
        </w:rPr>
        <w:t>recover</w:t>
      </w:r>
      <w:r>
        <w:rPr>
          <w:rFonts w:ascii="Times New Roman" w:hAnsi="Times New Roman" w:cs="Times New Roman"/>
          <w:sz w:val="21"/>
          <w:szCs w:val="21"/>
          <w:lang w:val="en-US"/>
        </w:rPr>
        <w:t xml:space="preserve">ing the precision </w:t>
      </w:r>
      <w:r w:rsidR="007B320B" w:rsidRPr="007B320B">
        <w:rPr>
          <w:rFonts w:ascii="Times New Roman" w:hAnsi="Times New Roman" w:cs="Times New Roman"/>
          <w:sz w:val="21"/>
          <w:szCs w:val="21"/>
          <w:lang w:val="en-US"/>
        </w:rPr>
        <w:t>has cost</w:t>
      </w:r>
      <w:r>
        <w:rPr>
          <w:rFonts w:ascii="Times New Roman" w:hAnsi="Times New Roman" w:cs="Times New Roman"/>
          <w:sz w:val="21"/>
          <w:szCs w:val="21"/>
          <w:lang w:val="en-US"/>
        </w:rPr>
        <w:t xml:space="preserve"> the law</w:t>
      </w:r>
      <w:r w:rsidR="007B320B">
        <w:rPr>
          <w:rFonts w:ascii="Times New Roman" w:hAnsi="Times New Roman" w:cs="Times New Roman"/>
          <w:sz w:val="21"/>
          <w:szCs w:val="21"/>
          <w:lang w:val="en-US"/>
        </w:rPr>
        <w:t>; we do not generalize this beyond these two cases</w:t>
      </w:r>
      <w:r>
        <w:rPr>
          <w:rFonts w:ascii="Times New Roman" w:hAnsi="Times New Roman" w:cs="Times New Roman"/>
          <w:sz w:val="21"/>
          <w:szCs w:val="21"/>
          <w:lang w:val="en-US"/>
        </w:rPr>
        <w:t>. The convergence argued for in this section should therefore be read as a direction that the two literatures make available, and the test we would apply to any future claim is whether both conditions hold within one training loop, at a scale comparable with the demonstrations of Table II and against a matched digital baseline.</w:t>
      </w:r>
    </w:p>
    <w:p w14:paraId="5760651C" w14:textId="77777777"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Several requirements follow. First, energy claims must include peripheral components, calibration and data conversion. Second, speed claims must specify whether they apply to one inference, many-query simulation, training or inverse design. Third, physical reliability must be tested under distribution shifts and long-time rollouts, not only interpolation benchmarks. Fourth, frontier claims should be grounded in peer-reviewed journals or top-tier conference papers, with speculative roadmaps clearly separated from demonstrated results.</w:t>
      </w:r>
    </w:p>
    <w:p w14:paraId="2813D8A0" w14:textId="77777777"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VI. </w:t>
      </w:r>
      <w:r>
        <w:rPr>
          <w:rFonts w:ascii="Times New Roman" w:hAnsi="Times New Roman" w:cs="Times New Roman"/>
          <w:sz w:val="24"/>
          <w:szCs w:val="24"/>
          <w:lang w:val="en-US"/>
        </w:rPr>
        <w:t>OUTLOOK</w:t>
      </w:r>
    </w:p>
    <w:p w14:paraId="1C6A2E25" w14:textId="29E084DA"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We have reviewed </w:t>
      </w:r>
      <w:r>
        <w:rPr>
          <w:rFonts w:ascii="Times New Roman" w:hAnsi="Times New Roman" w:cs="Times New Roman"/>
          <w:sz w:val="21"/>
          <w:szCs w:val="21"/>
          <w:lang w:val="en-US"/>
        </w:rPr>
        <w:t>two routes toward physically grounded computation, one in which the physics of the computing medium enters the learning process and one in which the physics of the target domain restricts the learned model. Two findings from that review bear on what should be attempted next. Table II shows that the four substrate families occupy well</w:t>
      </w:r>
      <w:r w:rsidR="00956E03" w:rsidRPr="00956E03">
        <w:rPr>
          <w:rFonts w:ascii="Times New Roman" w:hAnsi="Times New Roman" w:cs="Times New Roman"/>
          <w:sz w:val="21"/>
          <w:szCs w:val="21"/>
          <w:lang w:val="en-US"/>
        </w:rPr>
        <w:t>-</w:t>
      </w:r>
      <w:r>
        <w:rPr>
          <w:rFonts w:ascii="Times New Roman" w:hAnsi="Times New Roman" w:cs="Times New Roman"/>
          <w:sz w:val="21"/>
          <w:szCs w:val="21"/>
          <w:lang w:val="en-US"/>
        </w:rPr>
        <w:t xml:space="preserve">separated regions of the space of operating scales rather than competing for a single one, and Sec. V finds that in the two cases where the conditions of Sec. I have been imposed together, one of them held only in a weakened form, because the substrate and the problem were physically unrelated and each condition had to be bought at the expense of the other. We take these to indicate that the productive next step is not to improve substrates in general but to identify the cases in which a substrate and a problem share a physical structure, so that the two conditions need not be traded against each other. In this section we discuss three directions in which that identification is already partly under way, and in each we state what would count </w:t>
      </w:r>
      <w:r>
        <w:rPr>
          <w:rFonts w:ascii="Times New Roman" w:hAnsi="Times New Roman" w:cs="Times New Roman"/>
          <w:sz w:val="21"/>
          <w:szCs w:val="21"/>
          <w:lang w:val="en-US"/>
        </w:rPr>
        <w:lastRenderedPageBreak/>
        <w:t>as progress and under what condition we expect the direction to fail. Figure 6 collects the characteristics that follow, together with the demonstrations on which each rests.</w:t>
      </w:r>
    </w:p>
    <w:p w14:paraId="307907E0"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A. Substrates that host an operator rather than approximate one</w:t>
      </w:r>
    </w:p>
    <w:p w14:paraId="2E2FEC53" w14:textId="595C8741"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most successful physical computations of recent years were not networks trained to imitate an operator</w:t>
      </w:r>
      <w:r w:rsidR="00956E03" w:rsidRPr="00956E03">
        <w:rPr>
          <w:rFonts w:ascii="Times New Roman" w:hAnsi="Times New Roman" w:cs="Times New Roman"/>
          <w:sz w:val="21"/>
          <w:szCs w:val="21"/>
          <w:lang w:val="en-US"/>
        </w:rPr>
        <w:t xml:space="preserve"> but</w:t>
      </w:r>
      <w:r>
        <w:rPr>
          <w:rFonts w:ascii="Times New Roman" w:hAnsi="Times New Roman" w:cs="Times New Roman"/>
          <w:sz w:val="21"/>
          <w:szCs w:val="21"/>
          <w:lang w:val="en-US"/>
        </w:rPr>
        <w:t xml:space="preserve"> structures in which the operator is </w:t>
      </w:r>
      <w:r w:rsidR="00956E03">
        <w:rPr>
          <w:rFonts w:ascii="Times New Roman" w:hAnsi="Times New Roman" w:cs="Times New Roman"/>
          <w:sz w:val="21"/>
          <w:szCs w:val="21"/>
          <w:lang w:val="en-US"/>
        </w:rPr>
        <w:t xml:space="preserve">itself </w:t>
      </w:r>
      <w:r>
        <w:rPr>
          <w:rFonts w:ascii="Times New Roman" w:hAnsi="Times New Roman" w:cs="Times New Roman"/>
          <w:sz w:val="21"/>
          <w:szCs w:val="21"/>
          <w:lang w:val="en-US"/>
        </w:rPr>
        <w:t>the physics. An inverse-designed metastructure solves a linear Fredholm integral equation of the second kind because the scattering matrix of the structure is the kernel of the equation, and the recursive path of the wave around that kernel performs the Neumann-series iteration, so that the steady-state field is the solution</w:t>
      </w:r>
      <w:r>
        <w:rPr>
          <w:rFonts w:ascii="Times New Roman" w:hAnsi="Times New Roman" w:cs="Times New Roman"/>
          <w:sz w:val="21"/>
          <w:szCs w:val="21"/>
          <w:vertAlign w:val="superscript"/>
          <w:lang w:val="en-US"/>
        </w:rPr>
        <w:t>82</w:t>
      </w:r>
      <w:r>
        <w:rPr>
          <w:rFonts w:ascii="Times New Roman" w:hAnsi="Times New Roman" w:cs="Times New Roman"/>
          <w:sz w:val="21"/>
          <w:szCs w:val="21"/>
          <w:lang w:val="en-US"/>
        </w:rPr>
        <w:t>. A cross-point array of resistive devices closed by negative feedback solves a linear system, an eigenvector problem or a differential equation in a single step, because Ohm’s and Kirchhoff’s laws already express the relations that a digital solver reaches by iterating</w:t>
      </w:r>
      <w:r>
        <w:rPr>
          <w:rFonts w:ascii="Times New Roman" w:hAnsi="Times New Roman" w:cs="Times New Roman"/>
          <w:sz w:val="21"/>
          <w:szCs w:val="21"/>
          <w:vertAlign w:val="superscript"/>
          <w:lang w:val="en-US"/>
        </w:rPr>
        <w:t>83</w:t>
      </w:r>
      <w:r>
        <w:rPr>
          <w:rFonts w:ascii="Times New Roman" w:hAnsi="Times New Roman" w:cs="Times New Roman"/>
          <w:sz w:val="21"/>
          <w:szCs w:val="21"/>
          <w:lang w:val="en-US"/>
        </w:rPr>
        <w:t>. Both are physical solvers rather than neural networks: the operator is realized by the structure itself and nothing is trained to imitate it.</w:t>
      </w:r>
    </w:p>
    <w:p w14:paraId="7F89FEB8" w14:textId="7FE6DF2B"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These cases share a structure </w:t>
      </w:r>
      <w:r>
        <w:rPr>
          <w:rFonts w:ascii="Times New Roman" w:hAnsi="Times New Roman" w:cs="Times New Roman"/>
          <w:sz w:val="21"/>
          <w:szCs w:val="21"/>
          <w:lang w:val="en-US"/>
        </w:rPr>
        <w:t>worth stating as a criterion, because it is sharper than the general aspiration to co-design. A substrate hosts an operator when the fixed point of the operator is a steady state of the substrate’s dynamics. Inverse design then has a well-posed target, which is why the metastructure could be found at all. It is also why this class escapes the tension identified in Sec. I. The two conditions do not have to be reconciled, because the law constraining the model and the law governing the medium are the same equation.</w:t>
      </w:r>
    </w:p>
    <w:p w14:paraId="6BFDDF7D" w14:textId="0E8C9B76"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program this suggests is to assemble the correspondence systematically rather than case by case, and to establish which classes of operator admit a steady-state realization. Two limits of the present state should be stated</w:t>
      </w:r>
      <w:r>
        <w:rPr>
          <w:rFonts w:ascii="Times New Roman" w:hAnsi="Times New Roman" w:cs="Times New Roman"/>
          <w:sz w:val="21"/>
          <w:szCs w:val="21"/>
          <w:lang w:val="en-US"/>
        </w:rPr>
        <w:t>. Every demonstrated instance involves a linear, time-invariant operator, and it is not known whether the criterion extends to nonlinear or explicitly time-dependent ones. And in every instance the operator was specified in advance and the structure designed to host it. No system has yet hosted an operator that was itself learned from data, which is the case that would join this direction to the rest of this review.</w:t>
      </w:r>
    </w:p>
    <w:p w14:paraId="0573A7FD"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B. Accuracy as a property of the algorithm rather than of the device</w:t>
      </w:r>
    </w:p>
    <w:p w14:paraId="410045D7" w14:textId="231220F1"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Table II reports effective precision as though it were a property of a substrate. Recent work indicates that it is not. A foundry-fabricated 3-bit resistive memory chip has solved 16 × 16 matrix inversion problems to 24-bit fixed-point accuracy, comparable to 32-bit floating point, by combining a low-precision analog inversion with a high-precision analog matrix–vector multiplication inside a block algorithm; the precision improves at roughly three bits per cycle, and applied to signal detection in a massive multiple-input multiple-output system the same scheme matches a 32-bit floating-point processor within three iterations</w:t>
      </w:r>
      <w:r>
        <w:rPr>
          <w:rFonts w:ascii="Times New Roman" w:hAnsi="Times New Roman" w:cs="Times New Roman"/>
          <w:sz w:val="21"/>
          <w:szCs w:val="21"/>
          <w:vertAlign w:val="superscript"/>
          <w:lang w:val="en-US"/>
        </w:rPr>
        <w:t>68</w:t>
      </w:r>
      <w:r>
        <w:rPr>
          <w:rFonts w:ascii="Times New Roman" w:hAnsi="Times New Roman" w:cs="Times New Roman"/>
          <w:sz w:val="21"/>
          <w:szCs w:val="21"/>
          <w:lang w:val="en-US"/>
        </w:rPr>
        <w:t>. The device precision did not change. The algorithm was chosen so that the substrate was used only for the operation it performs well, and the residual error was removed by an iteration that is itself analog.</w:t>
      </w:r>
    </w:p>
    <w:p w14:paraId="42841409" w14:textId="4BC53E0F"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This relocates the accuracy problem from fabrication to algorithm design, and it suggests a route through the difficulty raised in Sec. I. If an analog error violates an invariant that an architecture was built to preserve, the invariant need not be defended at the device level. It can be restored by a correction step, provided the iteration contracts and the residual of the physical constraint can be evaluated more cheaply and more accurately than the constraint can be enforced. The </w:t>
      </w:r>
      <w:r>
        <w:rPr>
          <w:rFonts w:ascii="Times New Roman" w:hAnsi="Times New Roman" w:cs="Times New Roman"/>
          <w:sz w:val="21"/>
          <w:szCs w:val="21"/>
          <w:lang w:val="en-US"/>
        </w:rPr>
        <w:t>question is therefore which physical laws admit such self-correcting iterations. Conservation of a linear functional plausibly does, because its residual is a projection. A nonlinear conservation law, or a constraint whose residual requires solving the same expensive physics, plausibly does not. This direction fails wherever that residual is as costly as the original problem, and locating that boundary would tell us where hard constraints on analog hardware are worth attempting at all.</w:t>
      </w:r>
    </w:p>
    <w:p w14:paraId="60016952" w14:textId="77777777" w:rsidR="00F256B4" w:rsidRDefault="00000000">
      <w:pPr>
        <w:pStyle w:val="3"/>
        <w:jc w:val="both"/>
        <w:rPr>
          <w:rFonts w:ascii="Times New Roman" w:hAnsi="Times New Roman" w:cs="Times New Roman"/>
          <w:sz w:val="22"/>
          <w:szCs w:val="22"/>
          <w:lang w:val="en-US"/>
        </w:rPr>
      </w:pPr>
      <w:r>
        <w:rPr>
          <w:rFonts w:ascii="Times New Roman" w:hAnsi="Times New Roman" w:cs="Times New Roman"/>
          <w:sz w:val="22"/>
          <w:szCs w:val="22"/>
          <w:lang w:val="en-US"/>
        </w:rPr>
        <w:t>C. Substrates whose fluctuations are the distribution the problem asks for</w:t>
      </w:r>
    </w:p>
    <w:p w14:paraId="313256A4" w14:textId="0AE0AF36"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This review has treated stochasticity as a defect throughout. Table II quotes precision after noise and drift, Sec. III C lists conductance variability among the persistent bottlenecks of memristive arrays, and Sec. III D treats the slow and noisy kinetics of biomolecular systems as a limitation. One line of work inverts that reading. Solving a linear system, inverting a matrix and computing a determinant can each be mapped onto sampling from the thermodynamic equilibrium distribution of a system of coupled harmonic oscillators, with an asymptotic </w:t>
      </w:r>
      <w:r>
        <w:rPr>
          <w:rFonts w:ascii="Times New Roman" w:hAnsi="Times New Roman" w:cs="Times New Roman"/>
          <w:sz w:val="21"/>
          <w:szCs w:val="21"/>
          <w:lang w:val="en-US"/>
        </w:rPr>
        <w:lastRenderedPageBreak/>
        <w:t>advantage over digital methods that scales linearly in the matrix dimension</w:t>
      </w:r>
      <w:r>
        <w:rPr>
          <w:rFonts w:ascii="Times New Roman" w:hAnsi="Times New Roman" w:cs="Times New Roman"/>
          <w:sz w:val="21"/>
          <w:szCs w:val="21"/>
          <w:vertAlign w:val="superscript"/>
          <w:lang w:val="en-US"/>
        </w:rPr>
        <w:t>84</w:t>
      </w:r>
      <w:r>
        <w:rPr>
          <w:rFonts w:ascii="Times New Roman" w:hAnsi="Times New Roman" w:cs="Times New Roman"/>
          <w:sz w:val="21"/>
          <w:szCs w:val="21"/>
          <w:lang w:val="en-US"/>
        </w:rPr>
        <w:t>. A stochastic processing unit of eight all-to-all coupled resistor–inductor–capacitor cells has demonstrated Gaussian sampling and matrix inversion on hardware, using the fluctuations rather than suppressing them</w:t>
      </w:r>
      <w:r>
        <w:rPr>
          <w:rFonts w:ascii="Times New Roman" w:hAnsi="Times New Roman" w:cs="Times New Roman"/>
          <w:sz w:val="21"/>
          <w:szCs w:val="21"/>
          <w:vertAlign w:val="superscript"/>
          <w:lang w:val="en-US"/>
        </w:rPr>
        <w:t>85</w:t>
      </w:r>
      <w:r>
        <w:rPr>
          <w:rFonts w:ascii="Times New Roman" w:hAnsi="Times New Roman" w:cs="Times New Roman"/>
          <w:sz w:val="21"/>
          <w:szCs w:val="21"/>
          <w:lang w:val="en-US"/>
        </w:rPr>
        <w:t>.</w:t>
      </w:r>
    </w:p>
    <w:p w14:paraId="7332A1F9" w14:textId="6D9510D8"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The criterion of Sec. VI A has a counterpart here, and stating it makes the two directions one program</w:t>
      </w:r>
      <w:r>
        <w:rPr>
          <w:rFonts w:ascii="Times New Roman" w:hAnsi="Times New Roman" w:cs="Times New Roman"/>
          <w:sz w:val="21"/>
          <w:szCs w:val="21"/>
          <w:lang w:val="en-US"/>
        </w:rPr>
        <w:t xml:space="preserve">. A substrate is matched to a problem when the stationary distribution of its dynamics is the distribution the problem asks for, just as it hosts an operator when the operator’s fixed point is a steady state. Where the physics of the target domain is itself distributional, as it is for Bayesian posteriors and for the chemical master equation, the noise of the substrate is not a departure from the model but part of it, and the second condition of Sec. I is satisfied by the fluctuations rather than despite them. The </w:t>
      </w:r>
      <w:r>
        <w:rPr>
          <w:rFonts w:ascii="Times New Roman" w:hAnsi="Times New Roman" w:cs="Times New Roman"/>
          <w:sz w:val="21"/>
          <w:szCs w:val="21"/>
          <w:lang w:val="en-US"/>
        </w:rPr>
        <w:t>Langevin dynamics underlying diffusion</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generative models offer a computational analogy here rather than an instance of the condition: the condition is met only where the required distribution is prescribed by the target physics or inference model and the match has been verified by calibration.</w:t>
      </w:r>
    </w:p>
    <w:p w14:paraId="787CC9D6" w14:textId="3CEF0113"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This reading also asks for a reassessment of the slowest row of Table II. Biomolecular systems are poorly matched to deterministic arithmetic, which is the task they have generally been given, but chemical kinetics is intrinsically stochastic and its observable is </w:t>
      </w:r>
      <w:r>
        <w:rPr>
          <w:rFonts w:ascii="Times New Roman" w:hAnsi="Times New Roman" w:cs="Times New Roman"/>
          <w:sz w:val="21"/>
          <w:szCs w:val="21"/>
          <w:lang w:val="en-US"/>
        </w:rPr>
        <w:t>a distribution over molecular counts or concentrations rather than a number</w:t>
      </w:r>
      <w:r>
        <w:rPr>
          <w:rStyle w:val="af2"/>
          <w:rFonts w:ascii="Times New Roman" w:hAnsi="Times New Roman" w:cs="Times New Roman"/>
          <w:sz w:val="21"/>
          <w:szCs w:val="21"/>
          <w:lang w:val="en-US"/>
        </w:rPr>
      </w:r>
      <w:r>
        <w:rPr>
          <w:rFonts w:ascii="Times New Roman" w:hAnsi="Times New Roman" w:cs="Times New Roman"/>
          <w:sz w:val="21"/>
          <w:szCs w:val="21"/>
          <w:lang w:val="en-US"/>
        </w:rPr>
        <w:t>. The mismatch may lie with the problems posed rather than with the medium. The condition under which this whole direction fails is the one identified in Sec. II. Exploiting fluctuations requires them to be stationary and characterized, and drift is precisely the failure of that requirement, so a substrate whose noise statistics move on the timescale of a computation is no more usable here than it is elsewhere.</w:t>
      </w:r>
    </w:p>
    <w:p w14:paraId="665804A9" w14:textId="77777777" w:rsidR="00F256B4" w:rsidRDefault="00F256B4">
      <w:pPr>
        <w:spacing w:after="120"/>
        <w:jc w:val="both"/>
        <w:rPr>
          <w:rFonts w:ascii="Times New Roman" w:hAnsi="Times New Roman" w:cs="Times New Roman"/>
          <w:sz w:val="21"/>
          <w:szCs w:val="21"/>
          <w:lang w:val="en-US"/>
        </w:rPr>
      </w:pPr>
    </w:p>
    <w:p w14:paraId="59B7B337" w14:textId="77777777" w:rsidR="00F256B4" w:rsidRDefault="00000000">
      <w:pPr>
        <w:spacing w:after="120"/>
        <w:jc w:val="both"/>
        <w:rPr>
          <w:rFonts w:ascii="Times New Roman" w:hAnsi="Times New Roman" w:cs="Times New Roman"/>
          <w:sz w:val="21"/>
          <w:szCs w:val="21"/>
          <w:lang w:val="en-US"/>
        </w:rPr>
      </w:pPr>
      <w:r>
        <w:rPr>
          <w:rStyle w:val="af2"/>
          <w:rFonts w:ascii="Times New Roman" w:hAnsi="Times New Roman" w:cs="Times New Roman"/>
          <w:noProof/>
          <w:sz w:val="21"/>
          <w:szCs w:val="21"/>
          <w:lang w:val="en-US"/>
        </w:rPr>
        <w:drawing>
          <wp:inline distT="0" distB="0" distL="114300" distR="114300" wp14:anchorId="3707DD58" wp14:editId="43C34DDD">
            <wp:extent cx="5464810" cy="3521834"/>
            <wp:effectExtent l="0" t="0" r="21590" b="1270"/>
            <wp:docPr id="8" name="图片 8" descr="Radial diagram with five colored blades around a central circle labeled physically grounded computation. The blades name five testable design principles: operator-hosting substrates, chosen because their native dynamics realize the target operator rather than because they are fast; algorithmic accuracy, in which precision is recovered by a contracting iteration at roughly three bits per cycle; useful noise, in which fluctuations are matched to a distributional target rather than suppressed; system-level accounting, which takes twin cost and calibration lifetime rather than energy per operation as the figure of merit; and complementary families, the four substrate families occupying separate regions of the size-tim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adial diagram with five colored blades around a central circle labeled physically grounded computation. The blades name five testable design principles: operator-hosting substrates, chosen because their native dynamics realize the target operator rather than because they are fast; algorithmic accuracy, in which precision is recovered by a contracting iteration at roughly three bits per cycle; useful noise, in which fluctuations are matched to a distributional target rather than suppressed; system-level accounting, which takes twin cost and calibration lifetime rather than energy per operation as the figure of merit; and complementary families, the four substrate families occupying separate regions of the size-time plane."/>
                    <pic:cNvPicPr>
                      <a:picLocks noChangeAspect="1"/>
                    </pic:cNvPicPr>
                  </pic:nvPicPr>
                  <pic:blipFill>
                    <a:blip r:embed="rId19"/>
                    <a:stretch>
                      <a:fillRect/>
                    </a:stretch>
                  </pic:blipFill>
                  <pic:spPr>
                    <a:xfrm>
                      <a:off x="0" y="0"/>
                      <a:ext cx="5464810" cy="3521834"/>
                    </a:xfrm>
                    <a:prstGeom prst="rect">
                      <a:avLst/>
                    </a:prstGeom>
                  </pic:spPr>
                </pic:pic>
              </a:graphicData>
            </a:graphic>
          </wp:inline>
        </w:drawing>
      </w:r>
      <w:r>
        <w:rPr>
          <w:rStyle w:val="af2"/>
          <w:rFonts w:ascii="Times New Roman" w:hAnsi="Times New Roman" w:cs="Times New Roman"/>
          <w:sz w:val="21"/>
          <w:szCs w:val="21"/>
          <w:lang w:val="en-US"/>
        </w:rPr>
      </w:r>
    </w:p>
    <w:p w14:paraId="77632D6D" w14:textId="5D563CB2" w:rsidR="00F256B4" w:rsidRDefault="00000000">
      <w:pPr>
        <w:jc w:val="both"/>
        <w:rPr>
          <w:rFonts w:ascii="Times New Roman" w:hAnsi="Times New Roman" w:cs="Times New Roman"/>
          <w:color w:val="000000" w:themeColor="text1"/>
          <w:sz w:val="20"/>
          <w:szCs w:val="20"/>
          <w:lang w:val="en-US"/>
        </w:rPr>
      </w:pPr>
      <w:r>
        <w:rPr>
          <w:rFonts w:ascii="Times New Roman" w:hAnsi="Times New Roman" w:cs="Times New Roman"/>
          <w:b/>
          <w:bCs/>
          <w:color w:val="000000" w:themeColor="text1"/>
          <w:sz w:val="20"/>
          <w:szCs w:val="20"/>
          <w:lang w:val="en-US"/>
        </w:rPr>
        <w:t xml:space="preserve">FIG. 6. </w:t>
      </w:r>
      <w:r>
        <w:rPr>
          <w:rFonts w:ascii="Times New Roman" w:hAnsi="Times New Roman" w:cs="Times New Roman"/>
          <w:b/>
          <w:bCs/>
          <w:color w:val="000000" w:themeColor="text1"/>
          <w:sz w:val="20"/>
          <w:szCs w:val="20"/>
          <w:lang w:val="en-US"/>
        </w:rPr>
        <w:t>Five testable design principles</w:t>
      </w:r>
      <w:r w:rsidR="00296F51">
        <w:rPr>
          <w:rStyle w:val="af2"/>
          <w:rFonts w:ascii="Times New Roman" w:hAnsi="Times New Roman" w:cs="Times New Roman"/>
          <w:b/>
          <w:bCs/>
          <w:color w:val="000000" w:themeColor="text1"/>
          <w:sz w:val="20"/>
          <w:szCs w:val="20"/>
          <w:lang w:val="en-US"/>
        </w:rPr>
      </w:r>
      <w:r>
        <w:rPr>
          <w:rFonts w:ascii="Times New Roman" w:hAnsi="Times New Roman" w:cs="Times New Roman"/>
          <w:b/>
          <w:bCs/>
          <w:color w:val="000000" w:themeColor="text1"/>
          <w:sz w:val="20"/>
          <w:szCs w:val="20"/>
          <w:lang w:val="en-US"/>
        </w:rPr>
        <w:t xml:space="preserve"> for future physically grounded computation. Each blade states </w:t>
      </w:r>
      <w:r w:rsidR="00956E03" w:rsidRPr="00956E03">
        <w:rPr>
          <w:rFonts w:ascii="Times New Roman" w:hAnsi="Times New Roman" w:cs="Times New Roman"/>
          <w:b/>
          <w:bCs/>
          <w:color w:val="000000" w:themeColor="text1"/>
          <w:sz w:val="20"/>
          <w:szCs w:val="20"/>
          <w:lang w:val="en-US"/>
        </w:rPr>
        <w:t>a</w:t>
      </w:r>
      <w:r>
        <w:rPr>
          <w:rFonts w:ascii="Times New Roman" w:hAnsi="Times New Roman" w:cs="Times New Roman"/>
          <w:b/>
          <w:bCs/>
          <w:color w:val="000000" w:themeColor="text1"/>
          <w:sz w:val="20"/>
          <w:szCs w:val="20"/>
          <w:lang w:val="en-US"/>
        </w:rPr>
        <w:t xml:space="preserve"> principle in a form that a future demonstration could satisfy or fail, </w:t>
      </w:r>
      <w:r w:rsidR="00956E03" w:rsidRPr="00956E03">
        <w:rPr>
          <w:rFonts w:ascii="Times New Roman" w:hAnsi="Times New Roman" w:cs="Times New Roman"/>
          <w:b/>
          <w:bCs/>
          <w:color w:val="000000" w:themeColor="text1"/>
          <w:sz w:val="20"/>
          <w:szCs w:val="20"/>
          <w:lang w:val="en-US"/>
        </w:rPr>
        <w:t>not</w:t>
      </w:r>
      <w:r>
        <w:rPr>
          <w:rFonts w:ascii="Times New Roman" w:hAnsi="Times New Roman" w:cs="Times New Roman"/>
          <w:b/>
          <w:bCs/>
          <w:color w:val="000000" w:themeColor="text1"/>
          <w:sz w:val="20"/>
          <w:szCs w:val="20"/>
          <w:lang w:val="en-US"/>
        </w:rPr>
        <w:t xml:space="preserve"> a topic. Operator-hosting substrates are chosen </w:t>
      </w:r>
      <w:r w:rsidR="00956E03" w:rsidRPr="00956E03">
        <w:rPr>
          <w:rFonts w:ascii="Times New Roman" w:hAnsi="Times New Roman" w:cs="Times New Roman"/>
          <w:b/>
          <w:bCs/>
          <w:color w:val="000000" w:themeColor="text1"/>
          <w:sz w:val="20"/>
          <w:szCs w:val="20"/>
          <w:lang w:val="en-US"/>
        </w:rPr>
        <w:t>fo</w:t>
      </w:r>
      <w:r>
        <w:rPr>
          <w:rFonts w:ascii="Times New Roman" w:hAnsi="Times New Roman" w:cs="Times New Roman"/>
          <w:b/>
          <w:bCs/>
          <w:color w:val="000000" w:themeColor="text1"/>
          <w:sz w:val="20"/>
          <w:szCs w:val="20"/>
          <w:lang w:val="en-US"/>
        </w:rPr>
        <w:t xml:space="preserve">r native dynamics </w:t>
      </w:r>
      <w:r w:rsidR="00956E03">
        <w:rPr>
          <w:rFonts w:ascii="Times New Roman" w:hAnsi="Times New Roman" w:cs="Times New Roman"/>
          <w:b/>
          <w:bCs/>
          <w:color w:val="000000" w:themeColor="text1"/>
          <w:sz w:val="20"/>
          <w:szCs w:val="20"/>
          <w:lang w:val="en-US"/>
        </w:rPr>
        <w:t xml:space="preserve">that </w:t>
      </w:r>
      <w:r>
        <w:rPr>
          <w:rFonts w:ascii="Times New Roman" w:hAnsi="Times New Roman" w:cs="Times New Roman"/>
          <w:b/>
          <w:bCs/>
          <w:color w:val="000000" w:themeColor="text1"/>
          <w:sz w:val="20"/>
          <w:szCs w:val="20"/>
          <w:lang w:val="en-US"/>
        </w:rPr>
        <w:t>realize the target operator</w:t>
      </w:r>
      <w:r w:rsidR="00956E03" w:rsidRPr="00956E03">
        <w:rPr>
          <w:rFonts w:ascii="Times New Roman" w:hAnsi="Times New Roman" w:cs="Times New Roman"/>
          <w:b/>
          <w:bCs/>
          <w:color w:val="000000" w:themeColor="text1"/>
          <w:sz w:val="20"/>
          <w:szCs w:val="20"/>
          <w:lang w:val="en-US"/>
        </w:rPr>
        <w:t>, not for speed</w:t>
      </w:r>
      <w:r>
        <w:rPr>
          <w:rFonts w:ascii="Times New Roman" w:hAnsi="Times New Roman" w:cs="Times New Roman"/>
          <w:b/>
          <w:bCs/>
          <w:color w:val="000000" w:themeColor="text1"/>
          <w:sz w:val="20"/>
          <w:szCs w:val="20"/>
          <w:lang w:val="en-US"/>
        </w:rPr>
        <w:t xml:space="preserve"> (Sec. VI A)</w:t>
      </w:r>
      <w:r>
        <w:rPr>
          <w:rFonts w:ascii="Times New Roman" w:hAnsi="Times New Roman" w:cs="Times New Roman"/>
          <w:b/>
          <w:bCs/>
          <w:color w:val="000000" w:themeColor="text1"/>
          <w:sz w:val="20"/>
          <w:szCs w:val="20"/>
          <w:vertAlign w:val="superscript"/>
          <w:lang w:val="en-US"/>
        </w:rPr>
        <w:t>82,83</w:t>
      </w:r>
      <w:r>
        <w:rPr>
          <w:rFonts w:ascii="Times New Roman" w:hAnsi="Times New Roman" w:cs="Times New Roman"/>
          <w:b/>
          <w:bCs/>
          <w:color w:val="000000" w:themeColor="text1"/>
          <w:sz w:val="20"/>
          <w:szCs w:val="20"/>
          <w:lang w:val="en-US"/>
        </w:rPr>
        <w:t xml:space="preserve">. Algorithmic accuracy means </w:t>
      </w:r>
      <w:r>
        <w:rPr>
          <w:rFonts w:ascii="Times New Roman" w:hAnsi="Times New Roman" w:cs="Times New Roman"/>
          <w:b/>
          <w:bCs/>
          <w:color w:val="000000" w:themeColor="text1"/>
          <w:sz w:val="20"/>
          <w:szCs w:val="20"/>
          <w:lang w:val="en-US"/>
        </w:rPr>
        <w:t xml:space="preserve">precision </w:t>
      </w:r>
      <w:r>
        <w:rPr>
          <w:rFonts w:ascii="Times New Roman" w:hAnsi="Times New Roman" w:cs="Times New Roman"/>
          <w:b/>
          <w:bCs/>
          <w:color w:val="000000" w:themeColor="text1"/>
          <w:sz w:val="20"/>
          <w:szCs w:val="20"/>
          <w:lang w:val="en-US"/>
        </w:rPr>
        <w:t xml:space="preserve">recovered by a contracting iteration, at roughly three bits per cycle, </w:t>
      </w:r>
      <w:r w:rsidR="00956E03" w:rsidRPr="00956E03">
        <w:rPr>
          <w:rFonts w:ascii="Times New Roman" w:hAnsi="Times New Roman" w:cs="Times New Roman"/>
          <w:b/>
          <w:bCs/>
          <w:color w:val="000000" w:themeColor="text1"/>
          <w:sz w:val="20"/>
          <w:szCs w:val="20"/>
          <w:lang w:val="en-US"/>
        </w:rPr>
        <w:t>instead of</w:t>
      </w:r>
      <w:r>
        <w:rPr>
          <w:rFonts w:ascii="Times New Roman" w:hAnsi="Times New Roman" w:cs="Times New Roman"/>
          <w:b/>
          <w:bCs/>
          <w:color w:val="000000" w:themeColor="text1"/>
          <w:sz w:val="20"/>
          <w:szCs w:val="20"/>
          <w:lang w:val="en-US"/>
        </w:rPr>
        <w:t xml:space="preserve"> by fabrication (Sec. VI B)</w:t>
      </w:r>
      <w:r>
        <w:rPr>
          <w:rFonts w:ascii="Times New Roman" w:hAnsi="Times New Roman" w:cs="Times New Roman"/>
          <w:b/>
          <w:bCs/>
          <w:color w:val="000000" w:themeColor="text1"/>
          <w:sz w:val="20"/>
          <w:szCs w:val="20"/>
          <w:vertAlign w:val="superscript"/>
          <w:lang w:val="en-US"/>
        </w:rPr>
        <w:t>68</w:t>
      </w:r>
      <w:r>
        <w:rPr>
          <w:rFonts w:ascii="Times New Roman" w:hAnsi="Times New Roman" w:cs="Times New Roman"/>
          <w:b/>
          <w:bCs/>
          <w:color w:val="000000" w:themeColor="text1"/>
          <w:sz w:val="20"/>
          <w:szCs w:val="20"/>
          <w:lang w:val="en-US"/>
        </w:rPr>
        <w:t xml:space="preserve">. Useful noise means </w:t>
      </w:r>
      <w:r>
        <w:rPr>
          <w:rFonts w:ascii="Times New Roman" w:hAnsi="Times New Roman" w:cs="Times New Roman"/>
          <w:b/>
          <w:bCs/>
          <w:color w:val="000000" w:themeColor="text1"/>
          <w:sz w:val="20"/>
          <w:szCs w:val="20"/>
          <w:lang w:val="en-US"/>
        </w:rPr>
        <w:t xml:space="preserve">fluctuations </w:t>
      </w:r>
      <w:r>
        <w:rPr>
          <w:rFonts w:ascii="Times New Roman" w:hAnsi="Times New Roman" w:cs="Times New Roman"/>
          <w:b/>
          <w:bCs/>
          <w:color w:val="000000" w:themeColor="text1"/>
          <w:sz w:val="20"/>
          <w:szCs w:val="20"/>
          <w:lang w:val="en-US"/>
        </w:rPr>
        <w:t xml:space="preserve">matched to a distributional target </w:t>
      </w:r>
      <w:r w:rsidR="00956E03" w:rsidRPr="00956E03">
        <w:rPr>
          <w:rFonts w:ascii="Times New Roman" w:hAnsi="Times New Roman" w:cs="Times New Roman"/>
          <w:b/>
          <w:bCs/>
          <w:color w:val="000000" w:themeColor="text1"/>
          <w:sz w:val="20"/>
          <w:szCs w:val="20"/>
          <w:lang w:val="en-US"/>
        </w:rPr>
        <w:t>instead of</w:t>
      </w:r>
      <w:r>
        <w:rPr>
          <w:rFonts w:ascii="Times New Roman" w:hAnsi="Times New Roman" w:cs="Times New Roman"/>
          <w:b/>
          <w:bCs/>
          <w:color w:val="000000" w:themeColor="text1"/>
          <w:sz w:val="20"/>
          <w:szCs w:val="20"/>
          <w:lang w:val="en-US"/>
        </w:rPr>
        <w:t xml:space="preserve"> suppressed (Sec. VI C)</w:t>
      </w:r>
      <w:r>
        <w:rPr>
          <w:rFonts w:ascii="Times New Roman" w:hAnsi="Times New Roman" w:cs="Times New Roman"/>
          <w:b/>
          <w:bCs/>
          <w:color w:val="000000" w:themeColor="text1"/>
          <w:sz w:val="20"/>
          <w:szCs w:val="20"/>
          <w:vertAlign w:val="superscript"/>
          <w:lang w:val="en-US"/>
        </w:rPr>
        <w:t>84,85</w:t>
      </w:r>
      <w:r>
        <w:rPr>
          <w:rFonts w:ascii="Times New Roman" w:hAnsi="Times New Roman" w:cs="Times New Roman"/>
          <w:b/>
          <w:bCs/>
          <w:color w:val="000000" w:themeColor="text1"/>
          <w:sz w:val="20"/>
          <w:szCs w:val="20"/>
          <w:lang w:val="en-US"/>
        </w:rPr>
        <w:t xml:space="preserve">. System-level accounting takes the </w:t>
      </w:r>
      <w:r w:rsidR="00956E03">
        <w:rPr>
          <w:rFonts w:ascii="Times New Roman" w:hAnsi="Times New Roman" w:cs="Times New Roman"/>
          <w:b/>
          <w:bCs/>
          <w:color w:val="000000" w:themeColor="text1"/>
          <w:sz w:val="20"/>
          <w:szCs w:val="20"/>
          <w:lang w:val="en-US"/>
        </w:rPr>
        <w:t xml:space="preserve">figure of merit to be the </w:t>
      </w:r>
      <w:r>
        <w:rPr>
          <w:rFonts w:ascii="Times New Roman" w:hAnsi="Times New Roman" w:cs="Times New Roman"/>
          <w:b/>
          <w:bCs/>
          <w:color w:val="000000" w:themeColor="text1"/>
          <w:sz w:val="20"/>
          <w:szCs w:val="20"/>
          <w:lang w:val="en-US"/>
        </w:rPr>
        <w:t xml:space="preserve">cost of the digital twin and the calibration lifetime, </w:t>
      </w:r>
      <w:r w:rsidR="00956E03" w:rsidRPr="00956E03">
        <w:rPr>
          <w:rFonts w:ascii="Times New Roman" w:hAnsi="Times New Roman" w:cs="Times New Roman"/>
          <w:b/>
          <w:bCs/>
          <w:color w:val="000000" w:themeColor="text1"/>
          <w:sz w:val="20"/>
          <w:szCs w:val="20"/>
          <w:lang w:val="en-US"/>
        </w:rPr>
        <w:t>not</w:t>
      </w:r>
      <w:r>
        <w:rPr>
          <w:rFonts w:ascii="Times New Roman" w:hAnsi="Times New Roman" w:cs="Times New Roman"/>
          <w:b/>
          <w:bCs/>
          <w:color w:val="000000" w:themeColor="text1"/>
          <w:sz w:val="20"/>
          <w:szCs w:val="20"/>
          <w:lang w:val="en-US"/>
        </w:rPr>
        <w:t xml:space="preserve"> energy per operation</w:t>
      </w:r>
      <w:r>
        <w:rPr>
          <w:rFonts w:ascii="Times New Roman" w:hAnsi="Times New Roman" w:cs="Times New Roman"/>
          <w:b/>
          <w:bCs/>
          <w:color w:val="000000" w:themeColor="text1"/>
          <w:sz w:val="20"/>
          <w:szCs w:val="20"/>
          <w:lang w:val="en-US"/>
        </w:rPr>
        <w:t xml:space="preserve"> (Sec. II). Complementary families refers to the separate regions of the size–time plane </w:t>
      </w:r>
      <w:r w:rsidR="00956E03" w:rsidRPr="00956E03">
        <w:rPr>
          <w:rFonts w:ascii="Times New Roman" w:hAnsi="Times New Roman" w:cs="Times New Roman"/>
          <w:b/>
          <w:bCs/>
          <w:color w:val="000000" w:themeColor="text1"/>
          <w:sz w:val="20"/>
          <w:szCs w:val="20"/>
          <w:lang w:val="en-US"/>
        </w:rPr>
        <w:t>that</w:t>
      </w:r>
      <w:r>
        <w:rPr>
          <w:rFonts w:ascii="Times New Roman" w:hAnsi="Times New Roman" w:cs="Times New Roman"/>
          <w:b/>
          <w:bCs/>
          <w:color w:val="000000" w:themeColor="text1"/>
          <w:sz w:val="20"/>
          <w:szCs w:val="20"/>
          <w:lang w:val="en-US"/>
        </w:rPr>
        <w:t xml:space="preserve"> the four substrates </w:t>
      </w:r>
      <w:r w:rsidR="00956E03">
        <w:rPr>
          <w:rFonts w:ascii="Times New Roman" w:hAnsi="Times New Roman" w:cs="Times New Roman"/>
          <w:b/>
          <w:bCs/>
          <w:color w:val="000000" w:themeColor="text1"/>
          <w:sz w:val="20"/>
          <w:szCs w:val="20"/>
          <w:lang w:val="en-US"/>
        </w:rPr>
        <w:t xml:space="preserve">occupy </w:t>
      </w:r>
      <w:r>
        <w:rPr>
          <w:rFonts w:ascii="Times New Roman" w:hAnsi="Times New Roman" w:cs="Times New Roman"/>
          <w:b/>
          <w:bCs/>
          <w:color w:val="000000" w:themeColor="text1"/>
          <w:sz w:val="20"/>
          <w:szCs w:val="20"/>
          <w:lang w:val="en-US"/>
        </w:rPr>
        <w:t>(Table II), which makes them complement</w:t>
      </w:r>
      <w:r w:rsidR="00956E03" w:rsidRPr="00956E03">
        <w:rPr>
          <w:rFonts w:ascii="Times New Roman" w:hAnsi="Times New Roman" w:cs="Times New Roman"/>
          <w:b/>
          <w:bCs/>
          <w:color w:val="000000" w:themeColor="text1"/>
          <w:sz w:val="20"/>
          <w:szCs w:val="20"/>
          <w:lang w:val="en-US"/>
        </w:rPr>
        <w:t xml:space="preserve">s and </w:t>
      </w:r>
      <w:r w:rsidR="00956E03" w:rsidRPr="00956E03">
        <w:rPr>
          <w:rFonts w:ascii="Times New Roman" w:hAnsi="Times New Roman" w:cs="Times New Roman"/>
          <w:b/>
          <w:bCs/>
          <w:color w:val="000000" w:themeColor="text1"/>
          <w:sz w:val="20"/>
          <w:szCs w:val="20"/>
          <w:lang w:val="en-US"/>
        </w:rPr>
        <w:lastRenderedPageBreak/>
        <w:t>not competitors</w:t>
      </w:r>
      <w:r>
        <w:rPr>
          <w:rFonts w:ascii="Times New Roman" w:hAnsi="Times New Roman" w:cs="Times New Roman"/>
          <w:b/>
          <w:bCs/>
          <w:color w:val="000000" w:themeColor="text1"/>
          <w:sz w:val="20"/>
          <w:szCs w:val="20"/>
          <w:lang w:val="en-US"/>
        </w:rPr>
        <w:t xml:space="preserve">. The demonstrations on which a principle rests are cited </w:t>
      </w:r>
      <w:r w:rsidR="00956E03" w:rsidRPr="00956E03">
        <w:rPr>
          <w:rFonts w:ascii="Times New Roman" w:hAnsi="Times New Roman" w:cs="Times New Roman"/>
          <w:b/>
          <w:bCs/>
          <w:color w:val="000000" w:themeColor="text1"/>
          <w:sz w:val="20"/>
          <w:szCs w:val="20"/>
          <w:lang w:val="en-US"/>
        </w:rPr>
        <w:t>here</w:t>
      </w:r>
      <w:r>
        <w:rPr>
          <w:rFonts w:ascii="Times New Roman" w:hAnsi="Times New Roman" w:cs="Times New Roman"/>
          <w:b/>
          <w:bCs/>
          <w:color w:val="000000" w:themeColor="text1"/>
          <w:sz w:val="20"/>
          <w:szCs w:val="20"/>
          <w:lang w:val="en-US"/>
        </w:rPr>
        <w:t>; where no citation is given, the principle follows from the analysis in the section indicated. The figure is a proposed research map</w:t>
      </w:r>
      <w:r w:rsidR="00956E03" w:rsidRPr="00956E03">
        <w:rPr>
          <w:rFonts w:ascii="Times New Roman" w:hAnsi="Times New Roman" w:cs="Times New Roman"/>
          <w:b/>
          <w:bCs/>
          <w:color w:val="000000" w:themeColor="text1"/>
          <w:sz w:val="20"/>
          <w:szCs w:val="20"/>
          <w:lang w:val="en-US"/>
        </w:rPr>
        <w:t>, not</w:t>
      </w:r>
      <w:r>
        <w:rPr>
          <w:rFonts w:ascii="Times New Roman" w:hAnsi="Times New Roman" w:cs="Times New Roman"/>
          <w:b/>
          <w:bCs/>
          <w:color w:val="000000" w:themeColor="text1"/>
          <w:sz w:val="20"/>
          <w:szCs w:val="20"/>
          <w:lang w:val="en-US"/>
        </w:rPr>
        <w:t xml:space="preserve"> a summary of established joint demonstrations.</w:t>
      </w:r>
    </w:p>
    <w:p w14:paraId="32D2B6BE" w14:textId="08EAF3E4"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VII. </w:t>
      </w:r>
      <w:r>
        <w:rPr>
          <w:rFonts w:ascii="Times New Roman" w:hAnsi="Times New Roman" w:cs="Times New Roman"/>
          <w:sz w:val="24"/>
          <w:szCs w:val="24"/>
          <w:lang w:val="en-US"/>
        </w:rPr>
        <w:t>CONCLUSION</w:t>
      </w:r>
    </w:p>
    <w:p w14:paraId="58B97282" w14:textId="1797678F" w:rsidR="00F256B4" w:rsidRDefault="00000000">
      <w:pPr>
        <w:spacing w:after="120"/>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Neural networks are becoming physically grounded in two complementary ways. </w:t>
      </w:r>
      <w:r>
        <w:rPr>
          <w:rFonts w:ascii="Times New Roman" w:hAnsi="Times New Roman" w:cs="Times New Roman"/>
          <w:sz w:val="21"/>
          <w:szCs w:val="21"/>
          <w:lang w:val="en-US"/>
        </w:rPr>
        <w:t>Physical neural networks ask</w:t>
      </w:r>
      <w:r>
        <w:rPr>
          <w:rFonts w:ascii="Times New Roman" w:hAnsi="Times New Roman" w:cs="Times New Roman"/>
          <w:sz w:val="21"/>
          <w:szCs w:val="21"/>
          <w:lang w:val="en-US"/>
        </w:rPr>
        <w:t xml:space="preserve"> how matter, waves, devices and molecules can perform neural transformations more efficiently or more natively than digital hardware. Physics-</w:t>
      </w:r>
      <w:r>
        <w:rPr>
          <w:rFonts w:ascii="Times New Roman" w:hAnsi="Times New Roman" w:cs="Times New Roman"/>
          <w:sz w:val="21"/>
          <w:szCs w:val="21"/>
          <w:lang w:val="en-US"/>
        </w:rPr>
        <w:t>integrated</w:t>
      </w:r>
      <w:r>
        <w:rPr>
          <w:rFonts w:ascii="Times New Roman" w:hAnsi="Times New Roman" w:cs="Times New Roman"/>
          <w:sz w:val="21"/>
          <w:szCs w:val="21"/>
          <w:lang w:val="en-US"/>
        </w:rPr>
        <w:t xml:space="preserve"> learning asks how scientific laws can restrict learning so that predictions remain reliable, interpretable and useful beyond dense training data. The frontier is neither pure hardware acceleration nor pure equation-constrained software. </w:t>
      </w:r>
      <w:r>
        <w:rPr>
          <w:rFonts w:ascii="Times New Roman" w:hAnsi="Times New Roman" w:cs="Times New Roman"/>
          <w:sz w:val="21"/>
          <w:szCs w:val="21"/>
          <w:lang w:val="en-US"/>
        </w:rPr>
        <w:t xml:space="preserve">It is co-design, a direction that this review argues for and for which the neural-network evidence is thin rather than absent: the two demonstrations examined in Sec. V </w:t>
      </w:r>
      <w:r>
        <w:rPr>
          <w:rFonts w:ascii="Times New Roman" w:hAnsi="Times New Roman" w:cs="Times New Roman"/>
          <w:sz w:val="21"/>
          <w:szCs w:val="21"/>
          <w:lang w:val="en-US"/>
        </w:rPr>
        <w:t>each satisfy one of the two grounding conditions</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fully and the other only in a weakened form, and the physical solvers of Sec. VI are </w:t>
      </w:r>
      <w:r>
        <w:rPr>
          <w:rFonts w:ascii="Times New Roman" w:hAnsi="Times New Roman" w:cs="Times New Roman"/>
          <w:sz w:val="21"/>
          <w:szCs w:val="21"/>
          <w:lang w:val="en-US"/>
        </w:rPr>
        <w:t>proofs of principle rather than instances</w:t>
      </w:r>
      <w:r w:rsidR="00296F51">
        <w:rPr>
          <w:rStyle w:val="af2"/>
          <w:rFonts w:ascii="Times New Roman" w:hAnsi="Times New Roman" w:cs="Times New Roman"/>
          <w:sz w:val="21"/>
          <w:szCs w:val="21"/>
          <w:lang w:val="en-US"/>
        </w:rPr>
      </w:r>
      <w:r>
        <w:rPr>
          <w:rFonts w:ascii="Times New Roman" w:hAnsi="Times New Roman" w:cs="Times New Roman"/>
          <w:sz w:val="21"/>
          <w:szCs w:val="21"/>
          <w:lang w:val="en-US"/>
        </w:rPr>
        <w:t xml:space="preserve"> of the framework.</w:t>
      </w:r>
      <w:r>
        <w:rPr>
          <w:rFonts w:ascii="Times New Roman" w:hAnsi="Times New Roman" w:cs="Times New Roman"/>
          <w:sz w:val="21"/>
          <w:szCs w:val="21"/>
          <w:lang w:val="en-US"/>
        </w:rPr>
        <w:t xml:space="preserve"> Physical systems must be trained with models of their own non-ideal dynamics, and scientific machine-learning models must be evaluated with physical constraints, uncertainty and system-level deployment in mind. The most important future systems may therefore be those in which the substrate, the learning rule and the scientific law are designed together as physically grounded neural networks.</w:t>
      </w:r>
      <w:r>
        <w:rPr>
          <w:rFonts w:ascii="Times New Roman" w:hAnsi="Times New Roman" w:cs="Times New Roman"/>
          <w:sz w:val="21"/>
          <w:szCs w:val="21"/>
          <w:lang w:val="en-US"/>
        </w:rPr>
        <w:t xml:space="preserve"> </w:t>
      </w:r>
      <w:r w:rsidR="00956E03">
        <w:rPr>
          <w:rFonts w:ascii="Times New Roman" w:hAnsi="Times New Roman" w:cs="Times New Roman"/>
          <w:sz w:val="21"/>
          <w:szCs w:val="21"/>
          <w:lang w:val="en-US"/>
        </w:rPr>
        <w:t xml:space="preserve">Section VI </w:t>
      </w:r>
      <w:r>
        <w:rPr>
          <w:rFonts w:ascii="Times New Roman" w:hAnsi="Times New Roman" w:cs="Times New Roman"/>
          <w:sz w:val="21"/>
          <w:szCs w:val="21"/>
          <w:lang w:val="en-US"/>
        </w:rPr>
        <w:t xml:space="preserve">sets out three testable adjacent directions, together with two cross-cutting requirements </w:t>
      </w:r>
      <w:r w:rsidR="00956E03" w:rsidRPr="00956E03">
        <w:rPr>
          <w:rFonts w:ascii="Times New Roman" w:hAnsi="Times New Roman" w:cs="Times New Roman"/>
          <w:sz w:val="21"/>
          <w:szCs w:val="21"/>
          <w:lang w:val="en-US"/>
        </w:rPr>
        <w:t>(</w:t>
      </w:r>
      <w:r>
        <w:rPr>
          <w:rFonts w:ascii="Times New Roman" w:hAnsi="Times New Roman" w:cs="Times New Roman"/>
          <w:sz w:val="21"/>
          <w:szCs w:val="21"/>
          <w:lang w:val="en-US"/>
        </w:rPr>
        <w:t>system-level energy accounting that includes the cost of the digital twin and the calibration lifetime, and evidence reported against a matched digital baseline</w:t>
      </w:r>
      <w:r w:rsidR="00956E03" w:rsidRPr="00956E03">
        <w:rPr>
          <w:rFonts w:ascii="Times New Roman" w:hAnsi="Times New Roman" w:cs="Times New Roman"/>
          <w:sz w:val="21"/>
          <w:szCs w:val="21"/>
          <w:lang w:val="en-US"/>
        </w:rPr>
        <w:t>),</w:t>
      </w:r>
      <w:r>
        <w:rPr>
          <w:rFonts w:ascii="Times New Roman" w:hAnsi="Times New Roman" w:cs="Times New Roman"/>
          <w:sz w:val="21"/>
          <w:szCs w:val="21"/>
          <w:lang w:val="en-US"/>
        </w:rPr>
        <w:t xml:space="preserve"> and states the condition under which each direction fails. The five design questions of Fig. 6 give the evidence threshold we would apply to any claim that the two routes have converged.</w:t>
      </w:r>
    </w:p>
    <w:p w14:paraId="5D6ADD1C" w14:textId="77777777" w:rsidR="00F256B4" w:rsidRDefault="00F256B4">
      <w:pPr>
        <w:pStyle w:val="2"/>
        <w:jc w:val="both"/>
        <w:rPr>
          <w:rFonts w:ascii="Times New Roman" w:hAnsi="Times New Roman" w:cs="Times New Roman"/>
          <w:sz w:val="24"/>
          <w:szCs w:val="24"/>
          <w:lang w:val="en-US"/>
        </w:rPr>
      </w:pPr>
    </w:p>
    <w:p w14:paraId="67B16CFC" w14:textId="77777777" w:rsidR="00F256B4" w:rsidRDefault="00000000">
      <w:pPr>
        <w:spacing w:after="120"/>
        <w:rPr>
          <w:rFonts w:ascii="Times New Roman" w:hAnsi="Times New Roman" w:cs="Times New Roman"/>
          <w:b/>
          <w:bCs/>
          <w:sz w:val="24"/>
          <w:szCs w:val="24"/>
          <w:lang w:val="en-US"/>
        </w:rPr>
      </w:pPr>
      <w:r>
        <w:rPr>
          <w:rFonts w:ascii="Times New Roman" w:hAnsi="Times New Roman" w:cs="Times New Roman"/>
          <w:b/>
          <w:bCs/>
          <w:sz w:val="24"/>
          <w:szCs w:val="24"/>
          <w:lang w:val="en-US"/>
        </w:rPr>
        <w:t>ACKNOWLEDGMENTS</w:t>
      </w:r>
    </w:p>
    <w:p w14:paraId="1CAEFC61" w14:textId="46D54BC1" w:rsidR="00F256B4" w:rsidRDefault="00000000">
      <w:pPr>
        <w:jc w:val="both"/>
        <w:rPr>
          <w:rFonts w:ascii="Times New Roman" w:hAnsi="Times New Roman" w:cs="Times New Roman"/>
          <w:sz w:val="21"/>
          <w:szCs w:val="21"/>
          <w:lang w:val="en-US"/>
        </w:rPr>
      </w:pPr>
      <w:r>
        <w:rPr>
          <w:rFonts w:ascii="Times New Roman" w:hAnsi="Times New Roman" w:cs="Times New Roman"/>
          <w:sz w:val="21"/>
          <w:szCs w:val="21"/>
          <w:lang w:val="en-US"/>
        </w:rPr>
        <w:t xml:space="preserve">This work was supported by National Key Research and Development Program of China (No. 2022YFA1404704), Natural Science Foundation of China (NSFC) under </w:t>
      </w:r>
      <w:r>
        <w:rPr>
          <w:rFonts w:ascii="Times New Roman" w:hAnsi="Times New Roman" w:cs="Times New Roman"/>
          <w:sz w:val="21"/>
          <w:szCs w:val="21"/>
          <w:lang w:val="en-US"/>
        </w:rPr>
        <w:t>grant</w:t>
      </w:r>
      <w:r>
        <w:rPr>
          <w:rFonts w:ascii="Times New Roman" w:hAnsi="Times New Roman" w:cs="Times New Roman"/>
          <w:sz w:val="21"/>
          <w:szCs w:val="21"/>
          <w:lang w:val="en-US"/>
        </w:rPr>
        <w:t xml:space="preserve"> 62471435, the Natural Science Foundation of Zhejiang Province (ZJNSF) under grant LZ24F010002, and the Sichuan Science and Technology Program </w:t>
      </w:r>
      <w:r>
        <w:rPr>
          <w:rFonts w:ascii="Times New Roman" w:hAnsi="Times New Roman" w:cs="Times New Roman"/>
          <w:sz w:val="21"/>
          <w:szCs w:val="21"/>
          <w:lang w:val="en-US"/>
        </w:rPr>
        <w:t xml:space="preserve">under grant </w:t>
      </w:r>
      <w:r>
        <w:rPr>
          <w:rFonts w:ascii="Times New Roman" w:hAnsi="Times New Roman" w:cs="Times New Roman"/>
          <w:sz w:val="21"/>
          <w:szCs w:val="21"/>
          <w:lang w:val="en-US"/>
        </w:rPr>
        <w:t>2026YFHZ0247.</w:t>
      </w:r>
    </w:p>
    <w:p w14:paraId="0014E03F" w14:textId="77777777" w:rsidR="00F256B4" w:rsidRDefault="00F256B4">
      <w:pPr>
        <w:rPr>
          <w:rFonts w:ascii="Times New Roman" w:hAnsi="Times New Roman" w:cs="Times New Roman"/>
          <w:sz w:val="21"/>
          <w:szCs w:val="21"/>
          <w:lang w:val="en-US"/>
        </w:rPr>
      </w:pPr>
    </w:p>
    <w:p w14:paraId="3BEB7D8B" w14:textId="77777777" w:rsidR="00F256B4" w:rsidRDefault="00000000">
      <w:pPr>
        <w:spacing w:after="120"/>
        <w:rPr>
          <w:rFonts w:ascii="Times New Roman" w:hAnsi="Times New Roman" w:cs="Times New Roman"/>
          <w:sz w:val="21"/>
          <w:szCs w:val="21"/>
          <w:lang w:val="en-US"/>
        </w:rPr>
      </w:pPr>
      <w:r>
        <w:rPr>
          <w:rFonts w:ascii="Times New Roman" w:hAnsi="Times New Roman" w:cs="Times New Roman"/>
          <w:b/>
          <w:bCs/>
          <w:sz w:val="24"/>
          <w:szCs w:val="24"/>
          <w:lang w:val="en-US"/>
        </w:rPr>
        <w:t>DATA AVAILABILITY</w:t>
      </w:r>
    </w:p>
    <w:p w14:paraId="543C213A" w14:textId="7FC80B3E" w:rsidR="00F256B4" w:rsidRDefault="00000000">
      <w:pPr>
        <w:rPr>
          <w:rFonts w:ascii="Times New Roman" w:hAnsi="Times New Roman" w:cs="Times New Roman"/>
          <w:sz w:val="21"/>
          <w:szCs w:val="21"/>
          <w:lang w:val="en-US"/>
        </w:rPr>
      </w:pPr>
      <w:r>
        <w:rPr>
          <w:rFonts w:ascii="Times New Roman" w:hAnsi="Times New Roman" w:cs="Times New Roman"/>
          <w:sz w:val="21"/>
          <w:szCs w:val="21"/>
          <w:lang w:val="en-US"/>
        </w:rPr>
        <w:t>Data sharing is not applicable to this article, as no new data were created or analyzed in this study.</w:t>
      </w:r>
    </w:p>
    <w:p w14:paraId="21D38C7B" w14:textId="77777777" w:rsidR="00F256B4" w:rsidRDefault="00F256B4">
      <w:pPr>
        <w:rPr>
          <w:rFonts w:ascii="Times New Roman" w:hAnsi="Times New Roman" w:cs="Times New Roman"/>
          <w:sz w:val="21"/>
          <w:szCs w:val="21"/>
          <w:lang w:val="en-US"/>
        </w:rPr>
      </w:pPr>
    </w:p>
    <w:p w14:paraId="4BC11F6D" w14:textId="77777777" w:rsidR="00F256B4" w:rsidRDefault="00000000">
      <w:pPr>
        <w:spacing w:after="120"/>
        <w:rPr>
          <w:rFonts w:ascii="Times New Roman" w:hAnsi="Times New Roman" w:cs="Times New Roman"/>
          <w:sz w:val="24"/>
          <w:szCs w:val="24"/>
          <w:lang w:val="en-US"/>
        </w:rPr>
      </w:pPr>
      <w:r>
        <w:rPr>
          <w:rFonts w:ascii="Times New Roman" w:hAnsi="Times New Roman" w:cs="Times New Roman"/>
          <w:b/>
          <w:bCs/>
          <w:sz w:val="24"/>
          <w:szCs w:val="24"/>
          <w:lang w:val="en-US"/>
        </w:rPr>
        <w:t>AUTHOR CONTRIBUTIONS</w:t>
      </w:r>
    </w:p>
    <w:p w14:paraId="4ADF8325" w14:textId="77777777" w:rsidR="00F256B4" w:rsidRDefault="00000000">
      <w:pPr>
        <w:jc w:val="both"/>
        <w:rPr>
          <w:rFonts w:ascii="Times New Roman" w:hAnsi="Times New Roman" w:cs="Times New Roman"/>
          <w:sz w:val="21"/>
          <w:szCs w:val="21"/>
          <w:lang w:val="en-US"/>
        </w:rPr>
      </w:pPr>
      <w:r>
        <w:rPr>
          <w:rFonts w:ascii="Times New Roman" w:hAnsi="Times New Roman" w:cs="Times New Roman"/>
          <w:sz w:val="21"/>
          <w:szCs w:val="21"/>
          <w:lang w:val="en-US"/>
        </w:rPr>
        <w:t>H. Q. and D. Y. conceived the theme of the manuscript. H. Y., W. X. and J. L. researched data for the article. H. Y., D. Y. and H. Q. led the manuscript writing. All authors contributed to discussion, revision and final approval of the manuscript.</w:t>
      </w:r>
    </w:p>
    <w:p w14:paraId="7BB70784" w14:textId="77777777" w:rsidR="00F256B4" w:rsidRDefault="00F256B4">
      <w:pPr>
        <w:jc w:val="both"/>
        <w:rPr>
          <w:rFonts w:ascii="Times New Roman" w:hAnsi="Times New Roman" w:cs="Times New Roman"/>
          <w:sz w:val="21"/>
          <w:szCs w:val="21"/>
          <w:lang w:val="en-US"/>
        </w:rPr>
      </w:pPr>
    </w:p>
    <w:p w14:paraId="37A8546E" w14:textId="77777777" w:rsidR="00F256B4" w:rsidRDefault="00000000">
      <w:pPr>
        <w:rPr>
          <w:rFonts w:ascii="Times New Roman" w:hAnsi="Times New Roman" w:cs="Times New Roman"/>
          <w:b/>
          <w:bCs/>
          <w:sz w:val="24"/>
          <w:szCs w:val="24"/>
          <w:lang w:val="en-US"/>
        </w:rPr>
      </w:pPr>
      <w:r>
        <w:rPr>
          <w:rFonts w:ascii="Times New Roman" w:hAnsi="Times New Roman" w:cs="Times New Roman"/>
          <w:b/>
          <w:bCs/>
          <w:sz w:val="24"/>
          <w:szCs w:val="24"/>
          <w:lang w:val="en-US"/>
        </w:rPr>
        <w:t>COMPETING INTERESTS</w:t>
      </w:r>
    </w:p>
    <w:p w14:paraId="4FBBD501" w14:textId="77777777" w:rsidR="00F256B4" w:rsidRDefault="00000000">
      <w:pPr>
        <w:rPr>
          <w:rFonts w:ascii="Times New Roman" w:hAnsi="Times New Roman" w:cs="Times New Roman"/>
          <w:sz w:val="21"/>
          <w:szCs w:val="21"/>
          <w:lang w:val="en-US"/>
        </w:rPr>
      </w:pPr>
      <w:r>
        <w:rPr>
          <w:rFonts w:ascii="Times New Roman" w:hAnsi="Times New Roman" w:cs="Times New Roman"/>
          <w:sz w:val="21"/>
          <w:szCs w:val="21"/>
          <w:lang w:val="en-US"/>
        </w:rPr>
        <w:t>The authors declare no competing interests.</w:t>
      </w:r>
    </w:p>
    <w:p w14:paraId="73E7676B" w14:textId="77777777" w:rsidR="00F256B4" w:rsidRDefault="00F256B4">
      <w:pPr>
        <w:pStyle w:val="2"/>
        <w:jc w:val="both"/>
        <w:rPr>
          <w:rFonts w:ascii="Times New Roman" w:hAnsi="Times New Roman" w:cs="Times New Roman"/>
          <w:sz w:val="24"/>
          <w:szCs w:val="24"/>
          <w:lang w:val="en-US"/>
        </w:rPr>
      </w:pPr>
    </w:p>
    <w:p w14:paraId="0F776ED5" w14:textId="77777777" w:rsidR="00F256B4" w:rsidRDefault="00000000">
      <w:pPr>
        <w:pStyle w:val="2"/>
        <w:jc w:val="both"/>
        <w:rPr>
          <w:rFonts w:ascii="Times New Roman" w:hAnsi="Times New Roman" w:cs="Times New Roman"/>
          <w:sz w:val="24"/>
          <w:szCs w:val="24"/>
          <w:lang w:val="en-US"/>
        </w:rPr>
      </w:pPr>
      <w:r>
        <w:rPr>
          <w:rFonts w:ascii="Times New Roman" w:hAnsi="Times New Roman" w:cs="Times New Roman"/>
          <w:sz w:val="24"/>
          <w:szCs w:val="24"/>
          <w:lang w:val="en-US"/>
        </w:rPr>
        <w:t>REFERENCES</w:t>
      </w:r>
    </w:p>
    <w:p w14:paraId="73E397B3" w14:textId="77777777" w:rsidR="00F256B4" w:rsidRDefault="00000000">
      <w:pPr>
        <w:ind w:left="360" w:hanging="360"/>
        <w:jc w:val="both"/>
        <w:rPr>
          <w:lang w:val="en-US"/>
        </w:rPr>
      </w:pPr>
      <w:r>
        <w:rPr>
          <w:rFonts w:ascii="Times New Roman" w:hAnsi="Times New Roman"/>
          <w:sz w:val="20"/>
          <w:lang w:val="en-US"/>
        </w:rPr>
        <w:t xml:space="preserve">1. F. Rosenblatt, “The perceptron: a probabilistic model for information storage and organization in the brain,” </w:t>
      </w:r>
      <w:r>
        <w:rPr>
          <w:rFonts w:ascii="Times New Roman" w:hAnsi="Times New Roman"/>
          <w:i/>
          <w:sz w:val="20"/>
          <w:lang w:val="en-US"/>
        </w:rPr>
        <w:t>Psychol. Rev.</w:t>
      </w:r>
      <w:r>
        <w:rPr>
          <w:rFonts w:ascii="Times New Roman" w:hAnsi="Times New Roman"/>
          <w:sz w:val="20"/>
          <w:lang w:val="en-US"/>
        </w:rPr>
        <w:t xml:space="preserve"> </w:t>
      </w:r>
      <w:r>
        <w:rPr>
          <w:rFonts w:ascii="Times New Roman" w:hAnsi="Times New Roman"/>
          <w:b/>
          <w:bCs/>
          <w:sz w:val="20"/>
          <w:lang w:val="en-US"/>
        </w:rPr>
        <w:t>65</w:t>
      </w:r>
      <w:r>
        <w:rPr>
          <w:rFonts w:ascii="Times New Roman" w:hAnsi="Times New Roman"/>
          <w:sz w:val="20"/>
          <w:lang w:val="en-US"/>
        </w:rPr>
        <w:t>, 386 (1958).</w:t>
      </w:r>
    </w:p>
    <w:p w14:paraId="7D3FA250" w14:textId="77777777" w:rsidR="00F256B4" w:rsidRDefault="00000000">
      <w:pPr>
        <w:ind w:left="360" w:hanging="360"/>
        <w:jc w:val="both"/>
        <w:rPr>
          <w:lang w:val="en-US"/>
        </w:rPr>
      </w:pPr>
      <w:r>
        <w:rPr>
          <w:rFonts w:ascii="Times New Roman" w:hAnsi="Times New Roman"/>
          <w:sz w:val="20"/>
          <w:lang w:val="en-US"/>
        </w:rPr>
        <w:t xml:space="preserve">2. D. E. Rumelhart, G. E. Hinton, and R. J. Williams, “Learning representations by back-propagating errors,”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323</w:t>
      </w:r>
      <w:r>
        <w:rPr>
          <w:rFonts w:ascii="Times New Roman" w:hAnsi="Times New Roman"/>
          <w:sz w:val="20"/>
          <w:lang w:val="en-US"/>
        </w:rPr>
        <w:t>, 533 (1986).</w:t>
      </w:r>
    </w:p>
    <w:p w14:paraId="0D42D3AC" w14:textId="77777777" w:rsidR="00F256B4" w:rsidRDefault="00000000">
      <w:pPr>
        <w:ind w:left="360" w:hanging="360"/>
        <w:jc w:val="both"/>
        <w:rPr>
          <w:lang w:val="en-US"/>
        </w:rPr>
      </w:pPr>
      <w:r>
        <w:rPr>
          <w:rFonts w:ascii="Times New Roman" w:hAnsi="Times New Roman"/>
          <w:sz w:val="20"/>
          <w:lang w:val="en-US"/>
        </w:rPr>
        <w:t xml:space="preserve">3. Y. LeCun, Y. Bengio, and G. Hinton, “Deep learning,”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521</w:t>
      </w:r>
      <w:r>
        <w:rPr>
          <w:rFonts w:ascii="Times New Roman" w:hAnsi="Times New Roman"/>
          <w:sz w:val="20"/>
          <w:lang w:val="en-US"/>
        </w:rPr>
        <w:t>, 436 (2015).</w:t>
      </w:r>
    </w:p>
    <w:p w14:paraId="57BF23A8" w14:textId="77777777" w:rsidR="00F256B4" w:rsidRDefault="00000000">
      <w:pPr>
        <w:ind w:left="360" w:hanging="360"/>
        <w:jc w:val="both"/>
        <w:rPr>
          <w:lang w:val="en-US"/>
        </w:rPr>
      </w:pPr>
      <w:r>
        <w:rPr>
          <w:rFonts w:ascii="Times New Roman" w:hAnsi="Times New Roman"/>
          <w:sz w:val="20"/>
          <w:lang w:val="en-US"/>
        </w:rPr>
        <w:lastRenderedPageBreak/>
        <w:t xml:space="preserve">4. A. Vaswani et al., “Attention is all you need,”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bCs/>
          <w:sz w:val="20"/>
          <w:lang w:val="en-US"/>
        </w:rPr>
        <w:t>30</w:t>
      </w:r>
      <w:r>
        <w:rPr>
          <w:rFonts w:ascii="Times New Roman" w:hAnsi="Times New Roman"/>
          <w:sz w:val="20"/>
          <w:lang w:val="en-US"/>
        </w:rPr>
        <w:t>, 5998 (2017).</w:t>
      </w:r>
    </w:p>
    <w:p w14:paraId="5AC7CA62" w14:textId="77777777" w:rsidR="00F256B4" w:rsidRDefault="00000000">
      <w:pPr>
        <w:ind w:left="360" w:hanging="360"/>
        <w:jc w:val="both"/>
        <w:rPr>
          <w:lang w:val="en-US"/>
        </w:rPr>
      </w:pPr>
      <w:r>
        <w:rPr>
          <w:rFonts w:ascii="Times New Roman" w:hAnsi="Times New Roman"/>
          <w:sz w:val="20"/>
          <w:lang w:val="en-US"/>
        </w:rPr>
        <w:t xml:space="preserve">5. A. Gu and T. Dao, “Mamba: linear-time sequence modeling with selective state spaces,” </w:t>
      </w:r>
      <w:r>
        <w:rPr>
          <w:rFonts w:ascii="Times New Roman" w:hAnsi="Times New Roman"/>
          <w:i/>
          <w:sz w:val="20"/>
          <w:lang w:val="en-US"/>
        </w:rPr>
        <w:t>Proc. 1st Conference on Language Modeling (COLM)</w:t>
      </w:r>
      <w:r>
        <w:rPr>
          <w:rFonts w:ascii="Times New Roman" w:hAnsi="Times New Roman"/>
          <w:sz w:val="20"/>
          <w:lang w:val="en-US"/>
        </w:rPr>
        <w:t xml:space="preserve"> (2024).</w:t>
      </w:r>
    </w:p>
    <w:p w14:paraId="3DABF016" w14:textId="77777777" w:rsidR="00F256B4" w:rsidRDefault="00000000">
      <w:pPr>
        <w:ind w:left="360" w:hanging="360"/>
        <w:jc w:val="both"/>
        <w:rPr>
          <w:lang w:val="en-US"/>
        </w:rPr>
      </w:pPr>
      <w:r>
        <w:rPr>
          <w:rFonts w:ascii="Times New Roman" w:hAnsi="Times New Roman"/>
          <w:sz w:val="20"/>
          <w:lang w:val="en-US"/>
        </w:rPr>
        <w:t xml:space="preserve">6. Z. Liu et al., “KAN: Kolmogorov-Arnold networks,” </w:t>
      </w:r>
      <w:r>
        <w:rPr>
          <w:rFonts w:ascii="Times New Roman" w:hAnsi="Times New Roman"/>
          <w:i/>
          <w:sz w:val="20"/>
          <w:lang w:val="en-US"/>
        </w:rPr>
        <w:t>Proc. International Conference on Learning Representations (ICLR)</w:t>
      </w:r>
      <w:r>
        <w:rPr>
          <w:rFonts w:ascii="Times New Roman" w:hAnsi="Times New Roman"/>
          <w:sz w:val="20"/>
          <w:lang w:val="en-US"/>
        </w:rPr>
        <w:t xml:space="preserve"> (2025).</w:t>
      </w:r>
    </w:p>
    <w:p w14:paraId="082657B5" w14:textId="77777777" w:rsidR="00F256B4" w:rsidRDefault="00000000">
      <w:pPr>
        <w:ind w:left="360" w:hanging="360"/>
        <w:jc w:val="both"/>
        <w:rPr>
          <w:lang w:val="en-US"/>
        </w:rPr>
      </w:pPr>
      <w:r>
        <w:rPr>
          <w:rFonts w:ascii="Times New Roman" w:hAnsi="Times New Roman"/>
          <w:sz w:val="20"/>
          <w:lang w:val="en-US"/>
        </w:rPr>
        <w:t xml:space="preserve">7. D. Patterson et al., “The carbon footprint of machine learning training will plateau, then shrink,” </w:t>
      </w:r>
      <w:r>
        <w:rPr>
          <w:rFonts w:ascii="Times New Roman" w:hAnsi="Times New Roman"/>
          <w:i/>
          <w:sz w:val="20"/>
          <w:lang w:val="en-US"/>
        </w:rPr>
        <w:t>Computer</w:t>
      </w:r>
      <w:r>
        <w:rPr>
          <w:rFonts w:ascii="Times New Roman" w:hAnsi="Times New Roman"/>
          <w:sz w:val="20"/>
          <w:lang w:val="en-US"/>
        </w:rPr>
        <w:t xml:space="preserve"> </w:t>
      </w:r>
      <w:r>
        <w:rPr>
          <w:rFonts w:ascii="Times New Roman" w:hAnsi="Times New Roman"/>
          <w:b/>
          <w:bCs/>
          <w:sz w:val="20"/>
          <w:lang w:val="en-US"/>
        </w:rPr>
        <w:t>55</w:t>
      </w:r>
      <w:r>
        <w:rPr>
          <w:rFonts w:ascii="Times New Roman" w:hAnsi="Times New Roman"/>
          <w:sz w:val="20"/>
          <w:lang w:val="en-US"/>
        </w:rPr>
        <w:t>, 18 (2022).</w:t>
      </w:r>
    </w:p>
    <w:p w14:paraId="41FF7AD1" w14:textId="77777777" w:rsidR="00F256B4" w:rsidRDefault="00000000">
      <w:pPr>
        <w:ind w:left="360" w:hanging="360"/>
        <w:jc w:val="both"/>
        <w:rPr>
          <w:lang w:val="en-US"/>
        </w:rPr>
      </w:pPr>
      <w:r>
        <w:rPr>
          <w:rFonts w:ascii="Times New Roman" w:hAnsi="Times New Roman"/>
          <w:sz w:val="20"/>
          <w:lang w:val="en-US"/>
        </w:rPr>
        <w:t xml:space="preserve">8. M. Horowitz, “Computing’s energy problem (and what we can do about it),” </w:t>
      </w:r>
      <w:r>
        <w:rPr>
          <w:rFonts w:ascii="Times New Roman" w:hAnsi="Times New Roman"/>
          <w:i/>
          <w:sz w:val="20"/>
          <w:lang w:val="en-US"/>
        </w:rPr>
        <w:t>IEEE International Solid-State Circuits Conference Digest of Technical Papers</w:t>
      </w:r>
      <w:r>
        <w:rPr>
          <w:rFonts w:ascii="Times New Roman" w:hAnsi="Times New Roman"/>
          <w:sz w:val="20"/>
          <w:lang w:val="en-US"/>
        </w:rPr>
        <w:t xml:space="preserve"> 10 (2014).</w:t>
      </w:r>
    </w:p>
    <w:p w14:paraId="01178962" w14:textId="33764BB9" w:rsidR="00F256B4" w:rsidRDefault="00000000">
      <w:pPr>
        <w:ind w:left="360" w:hanging="360"/>
        <w:jc w:val="both"/>
        <w:rPr>
          <w:lang w:val="en-US"/>
        </w:rPr>
      </w:pPr>
      <w:r>
        <w:rPr>
          <w:rFonts w:ascii="Times New Roman" w:hAnsi="Times New Roman"/>
          <w:sz w:val="20"/>
          <w:lang w:val="en-US"/>
        </w:rPr>
        <w:t xml:space="preserve">9. D. </w:t>
      </w:r>
      <w:r>
        <w:rPr>
          <w:rFonts w:ascii="Times New Roman" w:hAnsi="Times New Roman"/>
          <w:sz w:val="20"/>
          <w:lang w:val="en-US"/>
        </w:rPr>
        <w:t>Marković</w:t>
      </w:r>
      <w:r>
        <w:rPr>
          <w:rFonts w:ascii="Times New Roman" w:hAnsi="Times New Roman"/>
          <w:sz w:val="20"/>
          <w:lang w:val="en-US"/>
        </w:rPr>
        <w:t xml:space="preserve">, A. Mizrahi, D. Querlioz, and J. Grollier, “Physics for neuromorphic computing,” </w:t>
      </w:r>
      <w:r>
        <w:rPr>
          <w:rFonts w:ascii="Times New Roman" w:hAnsi="Times New Roman"/>
          <w:i/>
          <w:sz w:val="20"/>
          <w:lang w:val="en-US"/>
        </w:rPr>
        <w:t>Nat. Rev. Phys.</w:t>
      </w:r>
      <w:r>
        <w:rPr>
          <w:rFonts w:ascii="Times New Roman" w:hAnsi="Times New Roman"/>
          <w:sz w:val="20"/>
          <w:lang w:val="en-US"/>
        </w:rPr>
        <w:t xml:space="preserve"> </w:t>
      </w:r>
      <w:r>
        <w:rPr>
          <w:rFonts w:ascii="Times New Roman" w:hAnsi="Times New Roman"/>
          <w:b/>
          <w:bCs/>
          <w:sz w:val="20"/>
          <w:lang w:val="en-US"/>
        </w:rPr>
        <w:t>2</w:t>
      </w:r>
      <w:r>
        <w:rPr>
          <w:rFonts w:ascii="Times New Roman" w:hAnsi="Times New Roman"/>
          <w:sz w:val="20"/>
          <w:lang w:val="en-US"/>
        </w:rPr>
        <w:t>, 499 (2020).</w:t>
      </w:r>
    </w:p>
    <w:p w14:paraId="7EFE25D3" w14:textId="77777777" w:rsidR="00F256B4" w:rsidRDefault="00000000">
      <w:pPr>
        <w:ind w:left="360" w:hanging="360"/>
        <w:jc w:val="both"/>
        <w:rPr>
          <w:lang w:val="en-US"/>
        </w:rPr>
      </w:pPr>
      <w:r>
        <w:rPr>
          <w:rFonts w:ascii="Times New Roman" w:hAnsi="Times New Roman"/>
          <w:sz w:val="20"/>
          <w:lang w:val="en-US"/>
        </w:rPr>
        <w:t xml:space="preserve">10. A. Sebastian, M. Le Gallo, R. Khaddam-Aljameh, and E. Eleftheriou, “Memory devices and applications for in-memory computing,” </w:t>
      </w:r>
      <w:r>
        <w:rPr>
          <w:rFonts w:ascii="Times New Roman" w:hAnsi="Times New Roman"/>
          <w:i/>
          <w:sz w:val="20"/>
          <w:lang w:val="en-US"/>
        </w:rPr>
        <w:t>Nat. Nanotechnol.</w:t>
      </w:r>
      <w:r>
        <w:rPr>
          <w:rFonts w:ascii="Times New Roman" w:hAnsi="Times New Roman"/>
          <w:sz w:val="20"/>
          <w:lang w:val="en-US"/>
        </w:rPr>
        <w:t xml:space="preserve"> </w:t>
      </w:r>
      <w:r>
        <w:rPr>
          <w:rFonts w:ascii="Times New Roman" w:hAnsi="Times New Roman"/>
          <w:b/>
          <w:bCs/>
          <w:sz w:val="20"/>
          <w:lang w:val="en-US"/>
        </w:rPr>
        <w:t>15</w:t>
      </w:r>
      <w:r>
        <w:rPr>
          <w:rFonts w:ascii="Times New Roman" w:hAnsi="Times New Roman"/>
          <w:sz w:val="20"/>
          <w:lang w:val="en-US"/>
        </w:rPr>
        <w:t>, 529 (2020).</w:t>
      </w:r>
    </w:p>
    <w:p w14:paraId="76FE1CD1" w14:textId="77777777" w:rsidR="00F256B4" w:rsidRDefault="00000000">
      <w:pPr>
        <w:ind w:left="360" w:hanging="360"/>
        <w:jc w:val="both"/>
        <w:rPr>
          <w:lang w:val="en-US"/>
        </w:rPr>
      </w:pPr>
      <w:r>
        <w:rPr>
          <w:rFonts w:ascii="Times New Roman" w:hAnsi="Times New Roman"/>
          <w:sz w:val="20"/>
          <w:lang w:val="en-US"/>
        </w:rPr>
        <w:t xml:space="preserve">11. Y. Shen et al., “Deep learning with coherent nanophotonic circuits,” </w:t>
      </w:r>
      <w:r>
        <w:rPr>
          <w:rFonts w:ascii="Times New Roman" w:hAnsi="Times New Roman"/>
          <w:i/>
          <w:sz w:val="20"/>
          <w:lang w:val="en-US"/>
        </w:rPr>
        <w:t>Nat. Photonics</w:t>
      </w:r>
      <w:r>
        <w:rPr>
          <w:rFonts w:ascii="Times New Roman" w:hAnsi="Times New Roman"/>
          <w:sz w:val="20"/>
          <w:lang w:val="en-US"/>
        </w:rPr>
        <w:t xml:space="preserve"> </w:t>
      </w:r>
      <w:r>
        <w:rPr>
          <w:rFonts w:ascii="Times New Roman" w:hAnsi="Times New Roman"/>
          <w:b/>
          <w:bCs/>
          <w:sz w:val="20"/>
          <w:lang w:val="en-US"/>
        </w:rPr>
        <w:t>11</w:t>
      </w:r>
      <w:r>
        <w:rPr>
          <w:rFonts w:ascii="Times New Roman" w:hAnsi="Times New Roman"/>
          <w:sz w:val="20"/>
          <w:lang w:val="en-US"/>
        </w:rPr>
        <w:t>, 441 (2017).</w:t>
      </w:r>
    </w:p>
    <w:p w14:paraId="0DA46B66" w14:textId="77777777" w:rsidR="00F256B4" w:rsidRDefault="00000000">
      <w:pPr>
        <w:ind w:left="360" w:hanging="360"/>
        <w:jc w:val="both"/>
        <w:rPr>
          <w:lang w:val="en-US"/>
        </w:rPr>
      </w:pPr>
      <w:r>
        <w:rPr>
          <w:rFonts w:ascii="Times New Roman" w:hAnsi="Times New Roman"/>
          <w:sz w:val="20"/>
          <w:lang w:val="en-US"/>
        </w:rPr>
        <w:t xml:space="preserve">12. X. Lin et al., “All-optical machine learning using diffractive deep neural networks,” </w:t>
      </w:r>
      <w:r>
        <w:rPr>
          <w:rFonts w:ascii="Times New Roman" w:hAnsi="Times New Roman"/>
          <w:i/>
          <w:sz w:val="20"/>
          <w:lang w:val="en-US"/>
        </w:rPr>
        <w:t>Science</w:t>
      </w:r>
      <w:r>
        <w:rPr>
          <w:rFonts w:ascii="Times New Roman" w:hAnsi="Times New Roman"/>
          <w:sz w:val="20"/>
          <w:lang w:val="en-US"/>
        </w:rPr>
        <w:t xml:space="preserve"> </w:t>
      </w:r>
      <w:r>
        <w:rPr>
          <w:rFonts w:ascii="Times New Roman" w:hAnsi="Times New Roman"/>
          <w:b/>
          <w:bCs/>
          <w:sz w:val="20"/>
          <w:lang w:val="en-US"/>
        </w:rPr>
        <w:t>361</w:t>
      </w:r>
      <w:r>
        <w:rPr>
          <w:rFonts w:ascii="Times New Roman" w:hAnsi="Times New Roman"/>
          <w:sz w:val="20"/>
          <w:lang w:val="en-US"/>
        </w:rPr>
        <w:t>, 1004 (2018).</w:t>
      </w:r>
    </w:p>
    <w:p w14:paraId="77B8EA10" w14:textId="77777777" w:rsidR="00F256B4" w:rsidRDefault="00000000">
      <w:pPr>
        <w:ind w:left="360" w:hanging="360"/>
        <w:jc w:val="both"/>
        <w:rPr>
          <w:lang w:val="en-US"/>
        </w:rPr>
      </w:pPr>
      <w:r>
        <w:rPr>
          <w:rFonts w:ascii="Times New Roman" w:hAnsi="Times New Roman"/>
          <w:sz w:val="20"/>
          <w:lang w:val="en-US"/>
        </w:rPr>
        <w:t xml:space="preserve">13. T. Fu et al., “Optical neural networks: progress and challenges,” </w:t>
      </w:r>
      <w:r>
        <w:rPr>
          <w:rFonts w:ascii="Times New Roman" w:hAnsi="Times New Roman"/>
          <w:i/>
          <w:sz w:val="20"/>
          <w:lang w:val="en-US"/>
        </w:rPr>
        <w:t>Light Sci. Appl.</w:t>
      </w:r>
      <w:r>
        <w:rPr>
          <w:rFonts w:ascii="Times New Roman" w:hAnsi="Times New Roman"/>
          <w:sz w:val="20"/>
          <w:lang w:val="en-US"/>
        </w:rPr>
        <w:t xml:space="preserve"> </w:t>
      </w:r>
      <w:r>
        <w:rPr>
          <w:rFonts w:ascii="Times New Roman" w:hAnsi="Times New Roman"/>
          <w:b/>
          <w:bCs/>
          <w:sz w:val="20"/>
          <w:lang w:val="en-US"/>
        </w:rPr>
        <w:t>13</w:t>
      </w:r>
      <w:r>
        <w:rPr>
          <w:rFonts w:ascii="Times New Roman" w:hAnsi="Times New Roman"/>
          <w:sz w:val="20"/>
          <w:lang w:val="en-US"/>
        </w:rPr>
        <w:t>, 263 (2024).</w:t>
      </w:r>
    </w:p>
    <w:p w14:paraId="0BF868FE" w14:textId="77777777" w:rsidR="00F256B4" w:rsidRDefault="00000000">
      <w:pPr>
        <w:ind w:left="360" w:hanging="360"/>
        <w:jc w:val="both"/>
        <w:rPr>
          <w:lang w:val="en-US"/>
        </w:rPr>
      </w:pPr>
      <w:r>
        <w:rPr>
          <w:rFonts w:ascii="Times New Roman" w:hAnsi="Times New Roman"/>
          <w:sz w:val="20"/>
          <w:lang w:val="en-US"/>
        </w:rPr>
        <w:t xml:space="preserve">14. L. G. Wright et al., “Deep physical neural networks trained with backpropagation,”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601</w:t>
      </w:r>
      <w:r>
        <w:rPr>
          <w:rFonts w:ascii="Times New Roman" w:hAnsi="Times New Roman"/>
          <w:sz w:val="20"/>
          <w:lang w:val="en-US"/>
        </w:rPr>
        <w:t>, 549 (2022).</w:t>
      </w:r>
    </w:p>
    <w:p w14:paraId="53E09171" w14:textId="77777777" w:rsidR="00F256B4" w:rsidRDefault="00000000">
      <w:pPr>
        <w:ind w:left="360" w:hanging="360"/>
        <w:jc w:val="both"/>
        <w:rPr>
          <w:lang w:val="en-US"/>
        </w:rPr>
      </w:pPr>
      <w:r>
        <w:rPr>
          <w:rFonts w:ascii="Times New Roman" w:hAnsi="Times New Roman"/>
          <w:sz w:val="20"/>
          <w:lang w:val="en-US"/>
        </w:rPr>
        <w:t xml:space="preserve">15. S.-Y. Ma, T. Wang, J. Laydevant, L. G. Wright, and P. L. McMahon, “Quantum-limited stochastic optical neural networks operating at a few quanta per activation,”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16</w:t>
      </w:r>
      <w:r>
        <w:rPr>
          <w:rFonts w:ascii="Times New Roman" w:hAnsi="Times New Roman"/>
          <w:sz w:val="20"/>
          <w:lang w:val="en-US"/>
        </w:rPr>
        <w:t>, 359 (2025).</w:t>
      </w:r>
    </w:p>
    <w:p w14:paraId="69388C97" w14:textId="77777777" w:rsidR="00F256B4" w:rsidRDefault="00000000">
      <w:pPr>
        <w:ind w:left="360" w:hanging="360"/>
        <w:jc w:val="both"/>
        <w:rPr>
          <w:lang w:val="en-US"/>
        </w:rPr>
      </w:pPr>
      <w:r>
        <w:rPr>
          <w:rFonts w:ascii="Times New Roman" w:hAnsi="Times New Roman"/>
          <w:sz w:val="20"/>
          <w:lang w:val="en-US"/>
        </w:rPr>
        <w:t xml:space="preserve">16. A. Momeni et al., “Training of physical neural networks,”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645</w:t>
      </w:r>
      <w:r>
        <w:rPr>
          <w:rFonts w:ascii="Times New Roman" w:hAnsi="Times New Roman"/>
          <w:sz w:val="20"/>
          <w:lang w:val="en-US"/>
        </w:rPr>
        <w:t>, 53 (2025).</w:t>
      </w:r>
    </w:p>
    <w:p w14:paraId="39767651" w14:textId="77777777" w:rsidR="00F256B4" w:rsidRDefault="00000000">
      <w:pPr>
        <w:ind w:left="360" w:hanging="360"/>
        <w:jc w:val="both"/>
        <w:rPr>
          <w:lang w:val="en-US"/>
        </w:rPr>
      </w:pPr>
      <w:r>
        <w:rPr>
          <w:rFonts w:ascii="Times New Roman" w:hAnsi="Times New Roman"/>
          <w:sz w:val="20"/>
          <w:lang w:val="en-US"/>
        </w:rPr>
        <w:t xml:space="preserve">17. T. Wang et al., “Image sensing with multilayer nonlinear optical neural networks,” </w:t>
      </w:r>
      <w:r>
        <w:rPr>
          <w:rFonts w:ascii="Times New Roman" w:hAnsi="Times New Roman"/>
          <w:i/>
          <w:sz w:val="20"/>
          <w:lang w:val="en-US"/>
        </w:rPr>
        <w:t>Nat. Photonics</w:t>
      </w:r>
      <w:r>
        <w:rPr>
          <w:rFonts w:ascii="Times New Roman" w:hAnsi="Times New Roman"/>
          <w:sz w:val="20"/>
          <w:lang w:val="en-US"/>
        </w:rPr>
        <w:t xml:space="preserve"> </w:t>
      </w:r>
      <w:r>
        <w:rPr>
          <w:rFonts w:ascii="Times New Roman" w:hAnsi="Times New Roman"/>
          <w:b/>
          <w:bCs/>
          <w:sz w:val="20"/>
          <w:lang w:val="en-US"/>
        </w:rPr>
        <w:t>17</w:t>
      </w:r>
      <w:r>
        <w:rPr>
          <w:rFonts w:ascii="Times New Roman" w:hAnsi="Times New Roman"/>
          <w:sz w:val="20"/>
          <w:lang w:val="en-US"/>
        </w:rPr>
        <w:t>, 408 (2023).</w:t>
      </w:r>
    </w:p>
    <w:p w14:paraId="10A5C5C3" w14:textId="77777777" w:rsidR="00F256B4" w:rsidRDefault="00000000">
      <w:pPr>
        <w:ind w:left="360" w:hanging="360"/>
        <w:jc w:val="both"/>
        <w:rPr>
          <w:lang w:val="en-US"/>
        </w:rPr>
      </w:pPr>
      <w:r>
        <w:rPr>
          <w:rFonts w:ascii="Times New Roman" w:hAnsi="Times New Roman"/>
          <w:sz w:val="20"/>
          <w:lang w:val="en-US"/>
        </w:rPr>
        <w:t xml:space="preserve">18. J. Feldmann et al., “Parallel convolutional processing using an integrated photonic tensor core,”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589</w:t>
      </w:r>
      <w:r>
        <w:rPr>
          <w:rFonts w:ascii="Times New Roman" w:hAnsi="Times New Roman"/>
          <w:sz w:val="20"/>
          <w:lang w:val="en-US"/>
        </w:rPr>
        <w:t>, 52 (2021).</w:t>
      </w:r>
    </w:p>
    <w:p w14:paraId="42A0967E" w14:textId="77777777" w:rsidR="00F256B4" w:rsidRDefault="00000000">
      <w:pPr>
        <w:ind w:left="360" w:hanging="360"/>
        <w:jc w:val="both"/>
        <w:rPr>
          <w:lang w:val="en-US"/>
        </w:rPr>
      </w:pPr>
      <w:r>
        <w:rPr>
          <w:rFonts w:ascii="Times New Roman" w:hAnsi="Times New Roman"/>
          <w:sz w:val="20"/>
          <w:lang w:val="en-US"/>
        </w:rPr>
        <w:t xml:space="preserve">19. A. N. Tait et al., “Silicon photonic modulator neuron,” </w:t>
      </w:r>
      <w:r>
        <w:rPr>
          <w:rFonts w:ascii="Times New Roman" w:hAnsi="Times New Roman"/>
          <w:i/>
          <w:sz w:val="20"/>
          <w:lang w:val="en-US"/>
        </w:rPr>
        <w:t>Phys. Rev. Appl.</w:t>
      </w:r>
      <w:r>
        <w:rPr>
          <w:rFonts w:ascii="Times New Roman" w:hAnsi="Times New Roman"/>
          <w:sz w:val="20"/>
          <w:lang w:val="en-US"/>
        </w:rPr>
        <w:t xml:space="preserve"> </w:t>
      </w:r>
      <w:r>
        <w:rPr>
          <w:rFonts w:ascii="Times New Roman" w:hAnsi="Times New Roman"/>
          <w:b/>
          <w:bCs/>
          <w:sz w:val="20"/>
          <w:lang w:val="en-US"/>
        </w:rPr>
        <w:t>11</w:t>
      </w:r>
      <w:r>
        <w:rPr>
          <w:rFonts w:ascii="Times New Roman" w:hAnsi="Times New Roman"/>
          <w:sz w:val="20"/>
          <w:lang w:val="en-US"/>
        </w:rPr>
        <w:t>, 064043 (2019).</w:t>
      </w:r>
    </w:p>
    <w:p w14:paraId="25BA32A5" w14:textId="77777777" w:rsidR="00F256B4" w:rsidRDefault="00000000">
      <w:pPr>
        <w:ind w:left="360" w:hanging="360"/>
        <w:jc w:val="both"/>
        <w:rPr>
          <w:lang w:val="en-US"/>
        </w:rPr>
      </w:pPr>
      <w:r>
        <w:rPr>
          <w:rFonts w:ascii="Times New Roman" w:hAnsi="Times New Roman"/>
          <w:sz w:val="20"/>
          <w:lang w:val="en-US"/>
        </w:rPr>
        <w:t xml:space="preserve">20. M. Schuld and N. Killoran, “Quantum machine learning in feature Hilbert spaces,” </w:t>
      </w:r>
      <w:r>
        <w:rPr>
          <w:rFonts w:ascii="Times New Roman" w:hAnsi="Times New Roman"/>
          <w:i/>
          <w:sz w:val="20"/>
          <w:lang w:val="en-US"/>
        </w:rPr>
        <w:t>Phys. Rev. Lett.</w:t>
      </w:r>
      <w:r>
        <w:rPr>
          <w:rFonts w:ascii="Times New Roman" w:hAnsi="Times New Roman"/>
          <w:sz w:val="20"/>
          <w:lang w:val="en-US"/>
        </w:rPr>
        <w:t xml:space="preserve"> </w:t>
      </w:r>
      <w:r>
        <w:rPr>
          <w:rFonts w:ascii="Times New Roman" w:hAnsi="Times New Roman"/>
          <w:b/>
          <w:bCs/>
          <w:sz w:val="20"/>
          <w:lang w:val="en-US"/>
        </w:rPr>
        <w:t>122</w:t>
      </w:r>
      <w:r>
        <w:rPr>
          <w:rFonts w:ascii="Times New Roman" w:hAnsi="Times New Roman"/>
          <w:sz w:val="20"/>
          <w:lang w:val="en-US"/>
        </w:rPr>
        <w:t>, 040504 (2019).</w:t>
      </w:r>
    </w:p>
    <w:p w14:paraId="7335B9BB" w14:textId="77777777" w:rsidR="00F256B4" w:rsidRDefault="00000000">
      <w:pPr>
        <w:ind w:left="360" w:hanging="360"/>
        <w:jc w:val="both"/>
        <w:rPr>
          <w:lang w:val="en-US"/>
        </w:rPr>
      </w:pPr>
      <w:r>
        <w:rPr>
          <w:rFonts w:ascii="Times New Roman" w:hAnsi="Times New Roman"/>
          <w:sz w:val="20"/>
          <w:lang w:val="en-US"/>
        </w:rPr>
        <w:t xml:space="preserve">21. I. Cong, S. Choi, and M. D. Lukin, “Quantum convolutional neural networks,” </w:t>
      </w:r>
      <w:r>
        <w:rPr>
          <w:rFonts w:ascii="Times New Roman" w:hAnsi="Times New Roman"/>
          <w:i/>
          <w:sz w:val="20"/>
          <w:lang w:val="en-US"/>
        </w:rPr>
        <w:t>Nat. Phys.</w:t>
      </w:r>
      <w:r>
        <w:rPr>
          <w:rFonts w:ascii="Times New Roman" w:hAnsi="Times New Roman"/>
          <w:sz w:val="20"/>
          <w:lang w:val="en-US"/>
        </w:rPr>
        <w:t xml:space="preserve"> </w:t>
      </w:r>
      <w:r>
        <w:rPr>
          <w:rFonts w:ascii="Times New Roman" w:hAnsi="Times New Roman"/>
          <w:b/>
          <w:bCs/>
          <w:sz w:val="20"/>
          <w:lang w:val="en-US"/>
        </w:rPr>
        <w:t>15</w:t>
      </w:r>
      <w:r>
        <w:rPr>
          <w:rFonts w:ascii="Times New Roman" w:hAnsi="Times New Roman"/>
          <w:sz w:val="20"/>
          <w:lang w:val="en-US"/>
        </w:rPr>
        <w:t>, 1273 (2019).</w:t>
      </w:r>
    </w:p>
    <w:p w14:paraId="6F233A4F" w14:textId="77777777" w:rsidR="00F256B4" w:rsidRDefault="00000000">
      <w:pPr>
        <w:ind w:left="360" w:hanging="360"/>
        <w:jc w:val="both"/>
        <w:rPr>
          <w:lang w:val="en-US"/>
        </w:rPr>
      </w:pPr>
      <w:r>
        <w:rPr>
          <w:rFonts w:ascii="Times New Roman" w:hAnsi="Times New Roman"/>
          <w:sz w:val="20"/>
          <w:lang w:val="en-US"/>
        </w:rPr>
        <w:t xml:space="preserve">22. A. Abbas et al., “The power of quantum neural networks,” </w:t>
      </w:r>
      <w:r>
        <w:rPr>
          <w:rFonts w:ascii="Times New Roman" w:hAnsi="Times New Roman"/>
          <w:i/>
          <w:sz w:val="20"/>
          <w:lang w:val="en-US"/>
        </w:rPr>
        <w:t>Nat. Comput. Sci.</w:t>
      </w:r>
      <w:r>
        <w:rPr>
          <w:rFonts w:ascii="Times New Roman" w:hAnsi="Times New Roman"/>
          <w:sz w:val="20"/>
          <w:lang w:val="en-US"/>
        </w:rPr>
        <w:t xml:space="preserve"> </w:t>
      </w:r>
      <w:r>
        <w:rPr>
          <w:rFonts w:ascii="Times New Roman" w:hAnsi="Times New Roman"/>
          <w:b/>
          <w:bCs/>
          <w:sz w:val="20"/>
          <w:lang w:val="en-US"/>
        </w:rPr>
        <w:t>1</w:t>
      </w:r>
      <w:r>
        <w:rPr>
          <w:rFonts w:ascii="Times New Roman" w:hAnsi="Times New Roman"/>
          <w:sz w:val="20"/>
          <w:lang w:val="en-US"/>
        </w:rPr>
        <w:t>, 403 (2021).</w:t>
      </w:r>
    </w:p>
    <w:p w14:paraId="3580E0CF" w14:textId="77777777" w:rsidR="00F256B4" w:rsidRDefault="00000000">
      <w:pPr>
        <w:ind w:left="360" w:hanging="360"/>
        <w:jc w:val="both"/>
        <w:rPr>
          <w:lang w:val="en-US"/>
        </w:rPr>
      </w:pPr>
      <w:r>
        <w:rPr>
          <w:rFonts w:ascii="Times New Roman" w:hAnsi="Times New Roman"/>
          <w:sz w:val="20"/>
          <w:lang w:val="en-US"/>
        </w:rPr>
        <w:t xml:space="preserve">23. H.-Y. Huang et al., “Power of data in quantum machine learning,”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12</w:t>
      </w:r>
      <w:r>
        <w:rPr>
          <w:rFonts w:ascii="Times New Roman" w:hAnsi="Times New Roman"/>
          <w:sz w:val="20"/>
          <w:lang w:val="en-US"/>
        </w:rPr>
        <w:t>, 2631 (2021).</w:t>
      </w:r>
    </w:p>
    <w:p w14:paraId="2C3D45A2" w14:textId="77777777" w:rsidR="00F256B4" w:rsidRDefault="00000000">
      <w:pPr>
        <w:ind w:left="360" w:hanging="360"/>
        <w:jc w:val="both"/>
        <w:rPr>
          <w:lang w:val="en-US"/>
        </w:rPr>
      </w:pPr>
      <w:r>
        <w:rPr>
          <w:rFonts w:ascii="Times New Roman" w:hAnsi="Times New Roman"/>
          <w:sz w:val="20"/>
          <w:lang w:val="en-US"/>
        </w:rPr>
        <w:t xml:space="preserve">24. D. Garcia-Martin, M. Larocca, and M. Cerezo, “Quantum neural networks form Gaussian processes,” </w:t>
      </w:r>
      <w:r>
        <w:rPr>
          <w:rFonts w:ascii="Times New Roman" w:hAnsi="Times New Roman"/>
          <w:i/>
          <w:sz w:val="20"/>
          <w:lang w:val="en-US"/>
        </w:rPr>
        <w:t>Nat. Phys.</w:t>
      </w:r>
      <w:r>
        <w:rPr>
          <w:rFonts w:ascii="Times New Roman" w:hAnsi="Times New Roman"/>
          <w:sz w:val="20"/>
          <w:lang w:val="en-US"/>
        </w:rPr>
        <w:t xml:space="preserve"> </w:t>
      </w:r>
      <w:r>
        <w:rPr>
          <w:rFonts w:ascii="Times New Roman" w:hAnsi="Times New Roman"/>
          <w:b/>
          <w:bCs/>
          <w:sz w:val="20"/>
          <w:lang w:val="en-US"/>
        </w:rPr>
        <w:t>21</w:t>
      </w:r>
      <w:r>
        <w:rPr>
          <w:rFonts w:ascii="Times New Roman" w:hAnsi="Times New Roman"/>
          <w:sz w:val="20"/>
          <w:lang w:val="en-US"/>
        </w:rPr>
        <w:t>, 1153 (2025).</w:t>
      </w:r>
    </w:p>
    <w:p w14:paraId="45A528ED" w14:textId="77777777" w:rsidR="00F256B4" w:rsidRDefault="00000000">
      <w:pPr>
        <w:ind w:left="360" w:hanging="360"/>
        <w:jc w:val="both"/>
        <w:rPr>
          <w:lang w:val="en-US"/>
        </w:rPr>
      </w:pPr>
      <w:r>
        <w:rPr>
          <w:rFonts w:ascii="Times New Roman" w:hAnsi="Times New Roman"/>
          <w:sz w:val="20"/>
          <w:lang w:val="en-US"/>
        </w:rPr>
        <w:t xml:space="preserve">25. L. Monbroussou et al., “Photonic quantum convolutional neural networks with adaptive state injection,” </w:t>
      </w:r>
      <w:r>
        <w:rPr>
          <w:rFonts w:ascii="Times New Roman" w:hAnsi="Times New Roman"/>
          <w:i/>
          <w:sz w:val="20"/>
          <w:lang w:val="en-US"/>
        </w:rPr>
        <w:t>Adv. Photon.</w:t>
      </w:r>
      <w:r>
        <w:rPr>
          <w:rFonts w:ascii="Times New Roman" w:hAnsi="Times New Roman"/>
          <w:sz w:val="20"/>
          <w:lang w:val="en-US"/>
        </w:rPr>
        <w:t xml:space="preserve"> </w:t>
      </w:r>
      <w:r>
        <w:rPr>
          <w:rFonts w:ascii="Times New Roman" w:hAnsi="Times New Roman"/>
          <w:b/>
          <w:bCs/>
          <w:sz w:val="20"/>
          <w:lang w:val="en-US"/>
        </w:rPr>
        <w:t>7</w:t>
      </w:r>
      <w:r>
        <w:rPr>
          <w:rFonts w:ascii="Times New Roman" w:hAnsi="Times New Roman"/>
          <w:sz w:val="20"/>
          <w:lang w:val="en-US"/>
        </w:rPr>
        <w:t>, 066012 (2025).</w:t>
      </w:r>
    </w:p>
    <w:p w14:paraId="6C1FD41A" w14:textId="77777777" w:rsidR="00F256B4" w:rsidRDefault="00000000">
      <w:pPr>
        <w:ind w:left="360" w:hanging="360"/>
        <w:jc w:val="both"/>
        <w:rPr>
          <w:lang w:val="en-US"/>
        </w:rPr>
      </w:pPr>
      <w:r>
        <w:rPr>
          <w:rFonts w:ascii="Times New Roman" w:hAnsi="Times New Roman"/>
          <w:sz w:val="20"/>
          <w:lang w:val="en-US"/>
        </w:rPr>
        <w:t xml:space="preserve">26. J. R. McClean, S. Boixo, V. N. Smelyanskiy, R. Babbush, and H. Neven, “Barren plateaus in quantum neural network training landscapes,”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9</w:t>
      </w:r>
      <w:r>
        <w:rPr>
          <w:rFonts w:ascii="Times New Roman" w:hAnsi="Times New Roman"/>
          <w:sz w:val="20"/>
          <w:lang w:val="en-US"/>
        </w:rPr>
        <w:t>, 4812 (2018).</w:t>
      </w:r>
    </w:p>
    <w:p w14:paraId="1C18D8A4" w14:textId="5C43BA38" w:rsidR="00F256B4" w:rsidRDefault="00000000">
      <w:pPr>
        <w:ind w:left="360" w:hanging="360"/>
        <w:jc w:val="both"/>
        <w:rPr>
          <w:lang w:val="en-US"/>
        </w:rPr>
      </w:pPr>
      <w:r>
        <w:rPr>
          <w:rFonts w:ascii="Times New Roman" w:hAnsi="Times New Roman"/>
          <w:sz w:val="20"/>
          <w:lang w:val="en-US"/>
        </w:rPr>
        <w:t>27. L. Chua, “Memristor</w:t>
      </w:r>
      <w:r>
        <w:rPr>
          <w:rFonts w:ascii="Times New Roman" w:hAnsi="Times New Roman"/>
          <w:sz w:val="20"/>
          <w:lang w:val="en-US"/>
        </w:rPr>
        <w:t>—</w:t>
      </w:r>
      <w:r>
        <w:rPr>
          <w:rFonts w:ascii="Times New Roman" w:hAnsi="Times New Roman"/>
          <w:sz w:val="20"/>
          <w:lang w:val="en-US"/>
        </w:rPr>
        <w:t xml:space="preserve">the missing circuit element,” </w:t>
      </w:r>
      <w:r>
        <w:rPr>
          <w:rFonts w:ascii="Times New Roman" w:hAnsi="Times New Roman"/>
          <w:i/>
          <w:sz w:val="20"/>
          <w:lang w:val="en-US"/>
        </w:rPr>
        <w:t>IEEE Trans. Circuit Theory</w:t>
      </w:r>
      <w:r>
        <w:rPr>
          <w:rFonts w:ascii="Times New Roman" w:hAnsi="Times New Roman"/>
          <w:sz w:val="20"/>
          <w:lang w:val="en-US"/>
        </w:rPr>
        <w:t xml:space="preserve"> </w:t>
      </w:r>
      <w:r>
        <w:rPr>
          <w:rFonts w:ascii="Times New Roman" w:hAnsi="Times New Roman"/>
          <w:b/>
          <w:bCs/>
          <w:sz w:val="20"/>
          <w:lang w:val="en-US"/>
        </w:rPr>
        <w:t>18</w:t>
      </w:r>
      <w:r>
        <w:rPr>
          <w:rFonts w:ascii="Times New Roman" w:hAnsi="Times New Roman"/>
          <w:sz w:val="20"/>
          <w:lang w:val="en-US"/>
        </w:rPr>
        <w:t>, 507 (1971).</w:t>
      </w:r>
    </w:p>
    <w:p w14:paraId="003BD456" w14:textId="77777777" w:rsidR="00F256B4" w:rsidRDefault="00000000">
      <w:pPr>
        <w:ind w:left="360" w:hanging="360"/>
        <w:jc w:val="both"/>
        <w:rPr>
          <w:lang w:val="en-US"/>
        </w:rPr>
      </w:pPr>
      <w:r>
        <w:rPr>
          <w:rFonts w:ascii="Times New Roman" w:hAnsi="Times New Roman"/>
          <w:sz w:val="20"/>
          <w:lang w:val="en-US"/>
        </w:rPr>
        <w:t xml:space="preserve">28. D. B. Strukov, G. S. Snider, D. R. Stewart, and R. S. Williams, “The missing memristor found,”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453</w:t>
      </w:r>
      <w:r>
        <w:rPr>
          <w:rFonts w:ascii="Times New Roman" w:hAnsi="Times New Roman"/>
          <w:sz w:val="20"/>
          <w:lang w:val="en-US"/>
        </w:rPr>
        <w:t>, 80 (2008).</w:t>
      </w:r>
    </w:p>
    <w:p w14:paraId="124DA908" w14:textId="77777777" w:rsidR="00F256B4" w:rsidRDefault="00000000">
      <w:pPr>
        <w:ind w:left="360" w:hanging="360"/>
        <w:jc w:val="both"/>
        <w:rPr>
          <w:lang w:val="en-US"/>
        </w:rPr>
      </w:pPr>
      <w:r>
        <w:rPr>
          <w:rFonts w:ascii="Times New Roman" w:hAnsi="Times New Roman"/>
          <w:sz w:val="20"/>
          <w:lang w:val="en-US"/>
        </w:rPr>
        <w:t xml:space="preserve">29. Q. Xia and J. J. Yang, “Memristive crossbar arrays for brain-inspired computing,” </w:t>
      </w:r>
      <w:r>
        <w:rPr>
          <w:rFonts w:ascii="Times New Roman" w:hAnsi="Times New Roman"/>
          <w:i/>
          <w:sz w:val="20"/>
          <w:lang w:val="en-US"/>
        </w:rPr>
        <w:t>Nat. Mater.</w:t>
      </w:r>
      <w:r>
        <w:rPr>
          <w:rFonts w:ascii="Times New Roman" w:hAnsi="Times New Roman"/>
          <w:sz w:val="20"/>
          <w:lang w:val="en-US"/>
        </w:rPr>
        <w:t xml:space="preserve"> </w:t>
      </w:r>
      <w:r>
        <w:rPr>
          <w:rFonts w:ascii="Times New Roman" w:hAnsi="Times New Roman"/>
          <w:b/>
          <w:bCs/>
          <w:sz w:val="20"/>
          <w:lang w:val="en-US"/>
        </w:rPr>
        <w:t>18</w:t>
      </w:r>
      <w:r>
        <w:rPr>
          <w:rFonts w:ascii="Times New Roman" w:hAnsi="Times New Roman"/>
          <w:sz w:val="20"/>
          <w:lang w:val="en-US"/>
        </w:rPr>
        <w:t>, 309 (2019).</w:t>
      </w:r>
    </w:p>
    <w:p w14:paraId="485A5DD1" w14:textId="77777777" w:rsidR="00F256B4" w:rsidRDefault="00000000">
      <w:pPr>
        <w:ind w:left="360" w:hanging="360"/>
        <w:jc w:val="both"/>
        <w:rPr>
          <w:lang w:val="en-US"/>
        </w:rPr>
      </w:pPr>
      <w:r>
        <w:rPr>
          <w:rFonts w:ascii="Times New Roman" w:hAnsi="Times New Roman"/>
          <w:sz w:val="20"/>
          <w:lang w:val="en-US"/>
        </w:rPr>
        <w:t xml:space="preserve">30. D. Ielmini and H.-S. P. Wong, “In-memory computing with resistive switching devices,” </w:t>
      </w:r>
      <w:r>
        <w:rPr>
          <w:rFonts w:ascii="Times New Roman" w:hAnsi="Times New Roman"/>
          <w:i/>
          <w:sz w:val="20"/>
          <w:lang w:val="en-US"/>
        </w:rPr>
        <w:t>Nat. Electron.</w:t>
      </w:r>
      <w:r>
        <w:rPr>
          <w:rFonts w:ascii="Times New Roman" w:hAnsi="Times New Roman"/>
          <w:sz w:val="20"/>
          <w:lang w:val="en-US"/>
        </w:rPr>
        <w:t xml:space="preserve"> </w:t>
      </w:r>
      <w:r>
        <w:rPr>
          <w:rFonts w:ascii="Times New Roman" w:hAnsi="Times New Roman"/>
          <w:b/>
          <w:bCs/>
          <w:sz w:val="20"/>
          <w:lang w:val="en-US"/>
        </w:rPr>
        <w:t>1</w:t>
      </w:r>
      <w:r>
        <w:rPr>
          <w:rFonts w:ascii="Times New Roman" w:hAnsi="Times New Roman"/>
          <w:sz w:val="20"/>
          <w:lang w:val="en-US"/>
        </w:rPr>
        <w:t>, 333 (2018).</w:t>
      </w:r>
    </w:p>
    <w:p w14:paraId="4DCDEED4" w14:textId="77777777" w:rsidR="00F256B4" w:rsidRDefault="00000000">
      <w:pPr>
        <w:ind w:left="360" w:hanging="360"/>
        <w:jc w:val="both"/>
        <w:rPr>
          <w:lang w:val="en-US"/>
        </w:rPr>
      </w:pPr>
      <w:r>
        <w:rPr>
          <w:rFonts w:ascii="Times New Roman" w:hAnsi="Times New Roman"/>
          <w:sz w:val="20"/>
          <w:lang w:val="en-US"/>
        </w:rPr>
        <w:t xml:space="preserve">31. P. Yao et al., “Fully hardware-implemented memristor convolutional neural network,”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577</w:t>
      </w:r>
      <w:r>
        <w:rPr>
          <w:rFonts w:ascii="Times New Roman" w:hAnsi="Times New Roman"/>
          <w:sz w:val="20"/>
          <w:lang w:val="en-US"/>
        </w:rPr>
        <w:t>, 641 (2020).</w:t>
      </w:r>
    </w:p>
    <w:p w14:paraId="70500724" w14:textId="77777777" w:rsidR="00F256B4" w:rsidRDefault="00000000">
      <w:pPr>
        <w:ind w:left="360" w:hanging="360"/>
        <w:jc w:val="both"/>
        <w:rPr>
          <w:lang w:val="en-US"/>
        </w:rPr>
      </w:pPr>
      <w:r>
        <w:rPr>
          <w:rFonts w:ascii="Times New Roman" w:hAnsi="Times New Roman"/>
          <w:sz w:val="20"/>
          <w:lang w:val="en-US"/>
        </w:rPr>
        <w:t xml:space="preserve">32. W. Wan et al., “A compute-in-memory chip based on resistive random-access memory,”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608</w:t>
      </w:r>
      <w:r>
        <w:rPr>
          <w:rFonts w:ascii="Times New Roman" w:hAnsi="Times New Roman"/>
          <w:sz w:val="20"/>
          <w:lang w:val="en-US"/>
        </w:rPr>
        <w:t>, 504 (2022).</w:t>
      </w:r>
    </w:p>
    <w:p w14:paraId="492EDEE6" w14:textId="77777777" w:rsidR="00F256B4" w:rsidRDefault="00000000">
      <w:pPr>
        <w:ind w:left="360" w:hanging="360"/>
        <w:jc w:val="both"/>
        <w:rPr>
          <w:lang w:val="en-US"/>
        </w:rPr>
      </w:pPr>
      <w:r>
        <w:rPr>
          <w:rFonts w:ascii="Times New Roman" w:hAnsi="Times New Roman"/>
          <w:sz w:val="20"/>
          <w:lang w:val="en-US"/>
        </w:rPr>
        <w:t xml:space="preserve">33. M. Le Gallo et al., “A 64-core mixed-signal in-memory compute chip based on phase-change memory for deep neural network inference,” </w:t>
      </w:r>
      <w:r>
        <w:rPr>
          <w:rFonts w:ascii="Times New Roman" w:hAnsi="Times New Roman"/>
          <w:i/>
          <w:sz w:val="20"/>
          <w:lang w:val="en-US"/>
        </w:rPr>
        <w:t>Nat. Electron.</w:t>
      </w:r>
      <w:r>
        <w:rPr>
          <w:rFonts w:ascii="Times New Roman" w:hAnsi="Times New Roman"/>
          <w:sz w:val="20"/>
          <w:lang w:val="en-US"/>
        </w:rPr>
        <w:t xml:space="preserve"> </w:t>
      </w:r>
      <w:r>
        <w:rPr>
          <w:rFonts w:ascii="Times New Roman" w:hAnsi="Times New Roman"/>
          <w:b/>
          <w:bCs/>
          <w:sz w:val="20"/>
          <w:lang w:val="en-US"/>
        </w:rPr>
        <w:t>6</w:t>
      </w:r>
      <w:r>
        <w:rPr>
          <w:rFonts w:ascii="Times New Roman" w:hAnsi="Times New Roman"/>
          <w:sz w:val="20"/>
          <w:lang w:val="en-US"/>
        </w:rPr>
        <w:t>, 680 (2023).</w:t>
      </w:r>
    </w:p>
    <w:p w14:paraId="2629E9E9" w14:textId="77777777" w:rsidR="00F256B4" w:rsidRDefault="00000000">
      <w:pPr>
        <w:ind w:left="360" w:hanging="360"/>
        <w:jc w:val="both"/>
        <w:rPr>
          <w:lang w:val="en-US"/>
        </w:rPr>
      </w:pPr>
      <w:r>
        <w:rPr>
          <w:rFonts w:ascii="Times New Roman" w:hAnsi="Times New Roman"/>
          <w:sz w:val="20"/>
          <w:lang w:val="en-US"/>
        </w:rPr>
        <w:t xml:space="preserve">34. M. Payvand et al., “Self-organization of an inhomogeneous memristive hardware for sequence learning,”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13</w:t>
      </w:r>
      <w:r>
        <w:rPr>
          <w:rFonts w:ascii="Times New Roman" w:hAnsi="Times New Roman"/>
          <w:sz w:val="20"/>
          <w:lang w:val="en-US"/>
        </w:rPr>
        <w:t>, 5793 (2022).</w:t>
      </w:r>
    </w:p>
    <w:p w14:paraId="30FF46A5" w14:textId="77777777" w:rsidR="00F256B4" w:rsidRDefault="00000000">
      <w:pPr>
        <w:ind w:left="360" w:hanging="360"/>
        <w:jc w:val="both"/>
        <w:rPr>
          <w:lang w:val="en-US"/>
        </w:rPr>
      </w:pPr>
      <w:r>
        <w:rPr>
          <w:rFonts w:ascii="Times New Roman" w:hAnsi="Times New Roman"/>
          <w:sz w:val="20"/>
          <w:lang w:val="en-US"/>
        </w:rPr>
        <w:t xml:space="preserve">35. L. Qian, E. Winfree, and J. Bruck, “Neural network computation with DNA strand displacement cascades,”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475</w:t>
      </w:r>
      <w:r>
        <w:rPr>
          <w:rFonts w:ascii="Times New Roman" w:hAnsi="Times New Roman"/>
          <w:sz w:val="20"/>
          <w:lang w:val="en-US"/>
        </w:rPr>
        <w:t>, 368 (2011).</w:t>
      </w:r>
    </w:p>
    <w:p w14:paraId="4C45E7DB" w14:textId="77777777" w:rsidR="00F256B4" w:rsidRDefault="00000000">
      <w:pPr>
        <w:ind w:left="360" w:hanging="360"/>
        <w:jc w:val="both"/>
        <w:rPr>
          <w:lang w:val="en-US"/>
        </w:rPr>
      </w:pPr>
      <w:r>
        <w:rPr>
          <w:rFonts w:ascii="Times New Roman" w:hAnsi="Times New Roman"/>
          <w:sz w:val="20"/>
          <w:lang w:val="en-US"/>
        </w:rPr>
        <w:t xml:space="preserve">36. K. M. Cherry and L. Qian, “Scaling up molecular pattern recognition with DNA-based winner-take-all neural networks,”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559</w:t>
      </w:r>
      <w:r>
        <w:rPr>
          <w:rFonts w:ascii="Times New Roman" w:hAnsi="Times New Roman"/>
          <w:sz w:val="20"/>
          <w:lang w:val="en-US"/>
        </w:rPr>
        <w:t>, 370 (2018).</w:t>
      </w:r>
    </w:p>
    <w:p w14:paraId="30DC9413" w14:textId="77777777" w:rsidR="00F256B4" w:rsidRDefault="00000000">
      <w:pPr>
        <w:ind w:left="360" w:hanging="360"/>
        <w:jc w:val="both"/>
        <w:rPr>
          <w:lang w:val="en-US"/>
        </w:rPr>
      </w:pPr>
      <w:r>
        <w:rPr>
          <w:rFonts w:ascii="Times New Roman" w:hAnsi="Times New Roman"/>
          <w:sz w:val="20"/>
          <w:lang w:val="en-US"/>
        </w:rPr>
        <w:t xml:space="preserve">37. R. C. Lee, A. Corsano, C. Y. Tseng, N. Laohakunakorn, and L. Y. T. Chou, “Rewireable building blocks for enzyme-powered DNA computing networks,” </w:t>
      </w:r>
      <w:r>
        <w:rPr>
          <w:rFonts w:ascii="Times New Roman" w:hAnsi="Times New Roman"/>
          <w:i/>
          <w:sz w:val="20"/>
          <w:lang w:val="en-US"/>
        </w:rPr>
        <w:t>J. Am. Chem. Soc.</w:t>
      </w:r>
      <w:r>
        <w:rPr>
          <w:rFonts w:ascii="Times New Roman" w:hAnsi="Times New Roman"/>
          <w:sz w:val="20"/>
          <w:lang w:val="en-US"/>
        </w:rPr>
        <w:t xml:space="preserve"> </w:t>
      </w:r>
      <w:r>
        <w:rPr>
          <w:rFonts w:ascii="Times New Roman" w:hAnsi="Times New Roman"/>
          <w:b/>
          <w:bCs/>
          <w:sz w:val="20"/>
          <w:lang w:val="en-US"/>
        </w:rPr>
        <w:t>146</w:t>
      </w:r>
      <w:r>
        <w:rPr>
          <w:rFonts w:ascii="Times New Roman" w:hAnsi="Times New Roman"/>
          <w:sz w:val="20"/>
          <w:lang w:val="en-US"/>
        </w:rPr>
        <w:t>, 26148 (2024).</w:t>
      </w:r>
    </w:p>
    <w:p w14:paraId="19297CBD" w14:textId="77777777" w:rsidR="00F256B4" w:rsidRDefault="00000000">
      <w:pPr>
        <w:ind w:left="360" w:hanging="360"/>
        <w:jc w:val="both"/>
        <w:rPr>
          <w:lang w:val="en-US"/>
        </w:rPr>
      </w:pPr>
      <w:r>
        <w:rPr>
          <w:rFonts w:ascii="Times New Roman" w:hAnsi="Times New Roman"/>
          <w:sz w:val="20"/>
          <w:lang w:val="en-US"/>
        </w:rPr>
        <w:t xml:space="preserve">38. H. Moghimianavval et al., “Engineering sequestration-based biomolecular classifiers with shared resources,” </w:t>
      </w:r>
      <w:r>
        <w:rPr>
          <w:rFonts w:ascii="Times New Roman" w:hAnsi="Times New Roman"/>
          <w:i/>
          <w:sz w:val="20"/>
          <w:lang w:val="en-US"/>
        </w:rPr>
        <w:t>ACS Synth. Biol.</w:t>
      </w:r>
      <w:r>
        <w:rPr>
          <w:rFonts w:ascii="Times New Roman" w:hAnsi="Times New Roman"/>
          <w:sz w:val="20"/>
          <w:lang w:val="en-US"/>
        </w:rPr>
        <w:t xml:space="preserve"> </w:t>
      </w:r>
      <w:r>
        <w:rPr>
          <w:rFonts w:ascii="Times New Roman" w:hAnsi="Times New Roman"/>
          <w:b/>
          <w:bCs/>
          <w:sz w:val="20"/>
          <w:lang w:val="en-US"/>
        </w:rPr>
        <w:t>13</w:t>
      </w:r>
      <w:r>
        <w:rPr>
          <w:rFonts w:ascii="Times New Roman" w:hAnsi="Times New Roman"/>
          <w:sz w:val="20"/>
          <w:lang w:val="en-US"/>
        </w:rPr>
        <w:t>, 3231 (2024).</w:t>
      </w:r>
    </w:p>
    <w:p w14:paraId="67A31E59" w14:textId="77777777" w:rsidR="00F256B4" w:rsidRDefault="00000000">
      <w:pPr>
        <w:ind w:left="360" w:hanging="360"/>
        <w:jc w:val="both"/>
        <w:rPr>
          <w:lang w:val="en-US"/>
        </w:rPr>
      </w:pPr>
      <w:r>
        <w:rPr>
          <w:rFonts w:ascii="Times New Roman" w:hAnsi="Times New Roman"/>
          <w:sz w:val="20"/>
          <w:lang w:val="en-US"/>
        </w:rPr>
        <w:t xml:space="preserve">39. J. Sim et al., “Reset-free DNA logic circuits for real-time input processing and memory,” </w:t>
      </w:r>
      <w:r>
        <w:rPr>
          <w:rFonts w:ascii="Times New Roman" w:hAnsi="Times New Roman"/>
          <w:i/>
          <w:sz w:val="20"/>
          <w:lang w:val="en-US"/>
        </w:rPr>
        <w:t>Sci. Adv.</w:t>
      </w:r>
      <w:r>
        <w:rPr>
          <w:rFonts w:ascii="Times New Roman" w:hAnsi="Times New Roman"/>
          <w:sz w:val="20"/>
          <w:lang w:val="en-US"/>
        </w:rPr>
        <w:t xml:space="preserve"> </w:t>
      </w:r>
      <w:r>
        <w:rPr>
          <w:rFonts w:ascii="Times New Roman" w:hAnsi="Times New Roman"/>
          <w:b/>
          <w:bCs/>
          <w:sz w:val="20"/>
          <w:lang w:val="en-US"/>
        </w:rPr>
        <w:t>12</w:t>
      </w:r>
      <w:r>
        <w:rPr>
          <w:rFonts w:ascii="Times New Roman" w:hAnsi="Times New Roman"/>
          <w:sz w:val="20"/>
          <w:lang w:val="en-US"/>
        </w:rPr>
        <w:t xml:space="preserve">, eaeb1699 </w:t>
      </w:r>
      <w:r>
        <w:rPr>
          <w:rFonts w:ascii="Times New Roman" w:hAnsi="Times New Roman"/>
          <w:sz w:val="20"/>
          <w:lang w:val="en-US"/>
        </w:rPr>
        <w:lastRenderedPageBreak/>
        <w:t>(2026).</w:t>
      </w:r>
    </w:p>
    <w:p w14:paraId="77D0254E" w14:textId="77777777" w:rsidR="00F256B4" w:rsidRDefault="00000000">
      <w:pPr>
        <w:ind w:left="360" w:hanging="360"/>
        <w:jc w:val="both"/>
        <w:rPr>
          <w:lang w:val="en-US"/>
        </w:rPr>
      </w:pPr>
      <w:r>
        <w:rPr>
          <w:rFonts w:ascii="Times New Roman" w:hAnsi="Times New Roman"/>
          <w:sz w:val="20"/>
          <w:lang w:val="en-US"/>
        </w:rPr>
        <w:t xml:space="preserve">40. L. M. Adleman, “Molecular computation of solutions to combinatorial problems,” </w:t>
      </w:r>
      <w:r>
        <w:rPr>
          <w:rFonts w:ascii="Times New Roman" w:hAnsi="Times New Roman"/>
          <w:i/>
          <w:sz w:val="20"/>
          <w:lang w:val="en-US"/>
        </w:rPr>
        <w:t>Science</w:t>
      </w:r>
      <w:r>
        <w:rPr>
          <w:rFonts w:ascii="Times New Roman" w:hAnsi="Times New Roman"/>
          <w:sz w:val="20"/>
          <w:lang w:val="en-US"/>
        </w:rPr>
        <w:t xml:space="preserve"> </w:t>
      </w:r>
      <w:r>
        <w:rPr>
          <w:rFonts w:ascii="Times New Roman" w:hAnsi="Times New Roman"/>
          <w:b/>
          <w:bCs/>
          <w:sz w:val="20"/>
          <w:lang w:val="en-US"/>
        </w:rPr>
        <w:t>266</w:t>
      </w:r>
      <w:r>
        <w:rPr>
          <w:rFonts w:ascii="Times New Roman" w:hAnsi="Times New Roman"/>
          <w:sz w:val="20"/>
          <w:lang w:val="en-US"/>
        </w:rPr>
        <w:t>, 1021 (1994).</w:t>
      </w:r>
    </w:p>
    <w:p w14:paraId="07340D89" w14:textId="77777777" w:rsidR="00F256B4" w:rsidRDefault="00000000">
      <w:pPr>
        <w:ind w:left="360" w:hanging="360"/>
        <w:jc w:val="both"/>
        <w:rPr>
          <w:lang w:val="en-US"/>
        </w:rPr>
      </w:pPr>
      <w:r>
        <w:rPr>
          <w:rFonts w:ascii="Times New Roman" w:hAnsi="Times New Roman"/>
          <w:sz w:val="20"/>
          <w:lang w:val="en-US"/>
        </w:rPr>
        <w:t xml:space="preserve">41. Y. Benenson, “Biomolecular computing systems: principles, progress and potential,” </w:t>
      </w:r>
      <w:r>
        <w:rPr>
          <w:rFonts w:ascii="Times New Roman" w:hAnsi="Times New Roman"/>
          <w:i/>
          <w:sz w:val="20"/>
          <w:lang w:val="en-US"/>
        </w:rPr>
        <w:t>Nat. Rev. Genet.</w:t>
      </w:r>
      <w:r>
        <w:rPr>
          <w:rFonts w:ascii="Times New Roman" w:hAnsi="Times New Roman"/>
          <w:sz w:val="20"/>
          <w:lang w:val="en-US"/>
        </w:rPr>
        <w:t xml:space="preserve"> </w:t>
      </w:r>
      <w:r>
        <w:rPr>
          <w:rFonts w:ascii="Times New Roman" w:hAnsi="Times New Roman"/>
          <w:b/>
          <w:bCs/>
          <w:sz w:val="20"/>
          <w:lang w:val="en-US"/>
        </w:rPr>
        <w:t>13</w:t>
      </w:r>
      <w:r>
        <w:rPr>
          <w:rFonts w:ascii="Times New Roman" w:hAnsi="Times New Roman"/>
          <w:sz w:val="20"/>
          <w:lang w:val="en-US"/>
        </w:rPr>
        <w:t>, 455 (2012).</w:t>
      </w:r>
    </w:p>
    <w:p w14:paraId="72F7FF55" w14:textId="77777777" w:rsidR="00F256B4" w:rsidRDefault="00000000">
      <w:pPr>
        <w:ind w:left="360" w:hanging="360"/>
        <w:jc w:val="both"/>
        <w:rPr>
          <w:lang w:val="en-US"/>
        </w:rPr>
      </w:pPr>
      <w:r>
        <w:rPr>
          <w:rFonts w:ascii="Times New Roman" w:hAnsi="Times New Roman"/>
          <w:sz w:val="20"/>
          <w:lang w:val="en-US"/>
        </w:rPr>
        <w:t xml:space="preserve">42. M. Raissi, P. Perdikaris, and G. E. Karniadakis, “Physics-informed neural networks: a deep learning framework for solving forward and inverse problems involving nonlinear partial differential equations,” </w:t>
      </w:r>
      <w:r>
        <w:rPr>
          <w:rFonts w:ascii="Times New Roman" w:hAnsi="Times New Roman"/>
          <w:i/>
          <w:sz w:val="20"/>
          <w:lang w:val="en-US"/>
        </w:rPr>
        <w:t>J. Comput. Phys.</w:t>
      </w:r>
      <w:r>
        <w:rPr>
          <w:rFonts w:ascii="Times New Roman" w:hAnsi="Times New Roman"/>
          <w:sz w:val="20"/>
          <w:lang w:val="en-US"/>
        </w:rPr>
        <w:t xml:space="preserve"> </w:t>
      </w:r>
      <w:r>
        <w:rPr>
          <w:rFonts w:ascii="Times New Roman" w:hAnsi="Times New Roman"/>
          <w:b/>
          <w:bCs/>
          <w:sz w:val="20"/>
          <w:lang w:val="en-US"/>
        </w:rPr>
        <w:t>378</w:t>
      </w:r>
      <w:r>
        <w:rPr>
          <w:rFonts w:ascii="Times New Roman" w:hAnsi="Times New Roman"/>
          <w:sz w:val="20"/>
          <w:lang w:val="en-US"/>
        </w:rPr>
        <w:t>, 686 (2019).</w:t>
      </w:r>
    </w:p>
    <w:p w14:paraId="2F0B536B" w14:textId="77777777" w:rsidR="00F256B4" w:rsidRDefault="00000000">
      <w:pPr>
        <w:ind w:left="360" w:hanging="360"/>
        <w:jc w:val="both"/>
        <w:rPr>
          <w:lang w:val="en-US"/>
        </w:rPr>
      </w:pPr>
      <w:r>
        <w:rPr>
          <w:rFonts w:ascii="Times New Roman" w:hAnsi="Times New Roman"/>
          <w:sz w:val="20"/>
          <w:lang w:val="en-US"/>
        </w:rPr>
        <w:t xml:space="preserve">43. G. E. Karniadakis et al., “Physics-informed machine learning,” </w:t>
      </w:r>
      <w:r>
        <w:rPr>
          <w:rFonts w:ascii="Times New Roman" w:hAnsi="Times New Roman"/>
          <w:i/>
          <w:sz w:val="20"/>
          <w:lang w:val="en-US"/>
        </w:rPr>
        <w:t>Nat. Rev. Phys.</w:t>
      </w:r>
      <w:r>
        <w:rPr>
          <w:rFonts w:ascii="Times New Roman" w:hAnsi="Times New Roman"/>
          <w:sz w:val="20"/>
          <w:lang w:val="en-US"/>
        </w:rPr>
        <w:t xml:space="preserve"> </w:t>
      </w:r>
      <w:r>
        <w:rPr>
          <w:rFonts w:ascii="Times New Roman" w:hAnsi="Times New Roman"/>
          <w:b/>
          <w:bCs/>
          <w:sz w:val="20"/>
          <w:lang w:val="en-US"/>
        </w:rPr>
        <w:t>3</w:t>
      </w:r>
      <w:r>
        <w:rPr>
          <w:rFonts w:ascii="Times New Roman" w:hAnsi="Times New Roman"/>
          <w:sz w:val="20"/>
          <w:lang w:val="en-US"/>
        </w:rPr>
        <w:t>, 422 (2021).</w:t>
      </w:r>
    </w:p>
    <w:p w14:paraId="608C0D28" w14:textId="77777777" w:rsidR="00F256B4" w:rsidRDefault="00000000">
      <w:pPr>
        <w:ind w:left="360" w:hanging="360"/>
        <w:jc w:val="both"/>
        <w:rPr>
          <w:lang w:val="en-US"/>
        </w:rPr>
      </w:pPr>
      <w:r>
        <w:rPr>
          <w:rFonts w:ascii="Times New Roman" w:hAnsi="Times New Roman"/>
          <w:sz w:val="20"/>
          <w:lang w:val="en-US"/>
        </w:rPr>
        <w:t xml:space="preserve">44. S. Cuomo et al., “Scientific machine learning through physics-informed neural networks: where we are and what’s next,” </w:t>
      </w:r>
      <w:r>
        <w:rPr>
          <w:rFonts w:ascii="Times New Roman" w:hAnsi="Times New Roman"/>
          <w:i/>
          <w:sz w:val="20"/>
          <w:lang w:val="en-US"/>
        </w:rPr>
        <w:t>J. Sci. Comput.</w:t>
      </w:r>
      <w:r>
        <w:rPr>
          <w:rFonts w:ascii="Times New Roman" w:hAnsi="Times New Roman"/>
          <w:sz w:val="20"/>
          <w:lang w:val="en-US"/>
        </w:rPr>
        <w:t xml:space="preserve"> </w:t>
      </w:r>
      <w:r>
        <w:rPr>
          <w:rFonts w:ascii="Times New Roman" w:hAnsi="Times New Roman"/>
          <w:b/>
          <w:bCs/>
          <w:sz w:val="20"/>
          <w:lang w:val="en-US"/>
        </w:rPr>
        <w:t>92</w:t>
      </w:r>
      <w:r>
        <w:rPr>
          <w:rFonts w:ascii="Times New Roman" w:hAnsi="Times New Roman"/>
          <w:sz w:val="20"/>
          <w:lang w:val="en-US"/>
        </w:rPr>
        <w:t>, 88 (2022).</w:t>
      </w:r>
    </w:p>
    <w:p w14:paraId="77E196D6" w14:textId="77777777" w:rsidR="00F256B4" w:rsidRDefault="00000000">
      <w:pPr>
        <w:ind w:left="360" w:hanging="360"/>
        <w:jc w:val="both"/>
        <w:rPr>
          <w:lang w:val="en-US"/>
        </w:rPr>
      </w:pPr>
      <w:r>
        <w:rPr>
          <w:rFonts w:ascii="Times New Roman" w:hAnsi="Times New Roman"/>
          <w:sz w:val="20"/>
          <w:lang w:val="en-US"/>
        </w:rPr>
        <w:t xml:space="preserve">45. S. Wang, X. Yu, and P. Perdikaris, “When and why PINNs fail to train: a neural tangent kernel perspective,” </w:t>
      </w:r>
      <w:r>
        <w:rPr>
          <w:rFonts w:ascii="Times New Roman" w:hAnsi="Times New Roman"/>
          <w:i/>
          <w:sz w:val="20"/>
          <w:lang w:val="en-US"/>
        </w:rPr>
        <w:t>J. Comput. Phys.</w:t>
      </w:r>
      <w:r>
        <w:rPr>
          <w:rFonts w:ascii="Times New Roman" w:hAnsi="Times New Roman"/>
          <w:sz w:val="20"/>
          <w:lang w:val="en-US"/>
        </w:rPr>
        <w:t xml:space="preserve"> </w:t>
      </w:r>
      <w:r>
        <w:rPr>
          <w:rFonts w:ascii="Times New Roman" w:hAnsi="Times New Roman"/>
          <w:b/>
          <w:bCs/>
          <w:sz w:val="20"/>
          <w:lang w:val="en-US"/>
        </w:rPr>
        <w:t>449</w:t>
      </w:r>
      <w:r>
        <w:rPr>
          <w:rFonts w:ascii="Times New Roman" w:hAnsi="Times New Roman"/>
          <w:sz w:val="20"/>
          <w:lang w:val="en-US"/>
        </w:rPr>
        <w:t>, 110768 (2022).</w:t>
      </w:r>
    </w:p>
    <w:p w14:paraId="246491BF" w14:textId="77777777" w:rsidR="00F256B4" w:rsidRDefault="00000000">
      <w:pPr>
        <w:ind w:left="360" w:hanging="360"/>
        <w:jc w:val="both"/>
        <w:rPr>
          <w:lang w:val="en-US"/>
        </w:rPr>
      </w:pPr>
      <w:r>
        <w:rPr>
          <w:rFonts w:ascii="Times New Roman" w:hAnsi="Times New Roman"/>
          <w:sz w:val="20"/>
          <w:lang w:val="en-US"/>
        </w:rPr>
        <w:t xml:space="preserve">46. A. Krishnapriyan et al., “Characterizing possible failure modes in physics-informed neural networks,”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bCs/>
          <w:sz w:val="20"/>
          <w:lang w:val="en-US"/>
        </w:rPr>
        <w:t>34</w:t>
      </w:r>
      <w:r>
        <w:rPr>
          <w:rFonts w:ascii="Times New Roman" w:hAnsi="Times New Roman"/>
          <w:sz w:val="20"/>
          <w:lang w:val="en-US"/>
        </w:rPr>
        <w:t>, 26548 (2021).</w:t>
      </w:r>
    </w:p>
    <w:p w14:paraId="4138058F" w14:textId="77777777" w:rsidR="00F256B4" w:rsidRDefault="00000000">
      <w:pPr>
        <w:ind w:left="360" w:hanging="360"/>
        <w:jc w:val="both"/>
        <w:rPr>
          <w:lang w:val="en-US"/>
        </w:rPr>
      </w:pPr>
      <w:r>
        <w:rPr>
          <w:rFonts w:ascii="Times New Roman" w:hAnsi="Times New Roman"/>
          <w:sz w:val="20"/>
          <w:lang w:val="en-US"/>
        </w:rPr>
        <w:t xml:space="preserve">47. N. Sukumar and A. Srivastava, “Exact imposition of boundary conditions with distance functions in physics-informed deep neural networks,”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389</w:t>
      </w:r>
      <w:r>
        <w:rPr>
          <w:rFonts w:ascii="Times New Roman" w:hAnsi="Times New Roman"/>
          <w:sz w:val="20"/>
          <w:lang w:val="en-US"/>
        </w:rPr>
        <w:t>, 114333 (2022).</w:t>
      </w:r>
    </w:p>
    <w:p w14:paraId="1D3A0921" w14:textId="77777777" w:rsidR="00F256B4" w:rsidRDefault="00000000">
      <w:pPr>
        <w:ind w:left="360" w:hanging="360"/>
        <w:jc w:val="both"/>
        <w:rPr>
          <w:lang w:val="en-US"/>
        </w:rPr>
      </w:pPr>
      <w:r>
        <w:rPr>
          <w:rFonts w:ascii="Times New Roman" w:hAnsi="Times New Roman"/>
          <w:sz w:val="20"/>
          <w:lang w:val="en-US"/>
        </w:rPr>
        <w:t xml:space="preserve">48. J. Noh and J. Lee, “Exact enforcement of temporal continuity in sequential physics-informed neural networks,”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430</w:t>
      </w:r>
      <w:r>
        <w:rPr>
          <w:rFonts w:ascii="Times New Roman" w:hAnsi="Times New Roman"/>
          <w:sz w:val="20"/>
          <w:lang w:val="en-US"/>
        </w:rPr>
        <w:t>, 117197 (2024).</w:t>
      </w:r>
    </w:p>
    <w:p w14:paraId="567D0A15" w14:textId="77777777" w:rsidR="00F256B4" w:rsidRDefault="00000000">
      <w:pPr>
        <w:ind w:left="360" w:hanging="360"/>
        <w:jc w:val="both"/>
        <w:rPr>
          <w:lang w:val="en-US"/>
        </w:rPr>
      </w:pPr>
      <w:r>
        <w:rPr>
          <w:rFonts w:ascii="Times New Roman" w:hAnsi="Times New Roman"/>
          <w:sz w:val="20"/>
          <w:lang w:val="en-US"/>
        </w:rPr>
        <w:t xml:space="preserve">49. X. Zheng et al., “Physics-specialized neural network with hard constraints for solving multi-material diffusion problems,”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430</w:t>
      </w:r>
      <w:r>
        <w:rPr>
          <w:rFonts w:ascii="Times New Roman" w:hAnsi="Times New Roman"/>
          <w:sz w:val="20"/>
          <w:lang w:val="en-US"/>
        </w:rPr>
        <w:t>, 117223 (2024).</w:t>
      </w:r>
    </w:p>
    <w:p w14:paraId="15F8B254" w14:textId="2D4BD129" w:rsidR="00F256B4" w:rsidRDefault="00000000">
      <w:pPr>
        <w:ind w:left="360" w:hanging="360"/>
        <w:jc w:val="both"/>
        <w:rPr>
          <w:lang w:val="en-US"/>
        </w:rPr>
      </w:pPr>
      <w:r>
        <w:rPr>
          <w:rFonts w:ascii="Times New Roman" w:hAnsi="Times New Roman"/>
          <w:sz w:val="20"/>
          <w:lang w:val="en-US"/>
        </w:rPr>
        <w:t xml:space="preserve">50. S. Greydanus, M. Dzamba, and J. Yosinski, “Hamiltonian neural networks,”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sz w:val="20"/>
          <w:lang w:val="en-US"/>
        </w:rPr>
        <w:t>32</w:t>
      </w:r>
      <w:r>
        <w:rPr>
          <w:rFonts w:ascii="Times New Roman" w:hAnsi="Times New Roman"/>
          <w:sz w:val="20"/>
          <w:lang w:val="en-US"/>
        </w:rPr>
        <w:t xml:space="preserve"> (2019).</w:t>
      </w:r>
    </w:p>
    <w:p w14:paraId="00DE0D2C" w14:textId="77777777" w:rsidR="00F256B4" w:rsidRDefault="00000000">
      <w:pPr>
        <w:ind w:left="360" w:hanging="360"/>
        <w:jc w:val="both"/>
        <w:rPr>
          <w:lang w:val="en-US"/>
        </w:rPr>
      </w:pPr>
      <w:r>
        <w:rPr>
          <w:rFonts w:ascii="Times New Roman" w:hAnsi="Times New Roman"/>
          <w:sz w:val="20"/>
          <w:lang w:val="en-US"/>
        </w:rPr>
        <w:t xml:space="preserve">51. R. T. Q. Chen, Y. Rubanova, J. Bettencourt, and D. K. Duvenaud, “Neural ordinary differential equations,”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bCs/>
          <w:sz w:val="20"/>
          <w:lang w:val="en-US"/>
        </w:rPr>
        <w:t>31</w:t>
      </w:r>
      <w:r>
        <w:rPr>
          <w:rFonts w:ascii="Times New Roman" w:hAnsi="Times New Roman"/>
          <w:sz w:val="20"/>
          <w:lang w:val="en-US"/>
        </w:rPr>
        <w:t>, 6572 (2018).</w:t>
      </w:r>
    </w:p>
    <w:p w14:paraId="61ABFD7D" w14:textId="77777777" w:rsidR="00F256B4" w:rsidRDefault="00000000">
      <w:pPr>
        <w:ind w:left="360" w:hanging="360"/>
        <w:jc w:val="both"/>
        <w:rPr>
          <w:lang w:val="en-US"/>
        </w:rPr>
      </w:pPr>
      <w:r>
        <w:rPr>
          <w:rFonts w:ascii="Times New Roman" w:hAnsi="Times New Roman"/>
          <w:sz w:val="20"/>
          <w:lang w:val="en-US"/>
        </w:rPr>
        <w:t xml:space="preserve">52. X. Chen et al., “Forecasting the outcome of spintronic experiments with neural ordinary differential equations,”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13</w:t>
      </w:r>
      <w:r>
        <w:rPr>
          <w:rFonts w:ascii="Times New Roman" w:hAnsi="Times New Roman"/>
          <w:sz w:val="20"/>
          <w:lang w:val="en-US"/>
        </w:rPr>
        <w:t>, 1016 (2022).</w:t>
      </w:r>
    </w:p>
    <w:p w14:paraId="1E28A092" w14:textId="77777777" w:rsidR="00F256B4" w:rsidRDefault="00000000">
      <w:pPr>
        <w:ind w:left="360" w:hanging="360"/>
        <w:jc w:val="both"/>
        <w:rPr>
          <w:lang w:val="en-US"/>
        </w:rPr>
      </w:pPr>
      <w:r>
        <w:rPr>
          <w:rFonts w:ascii="Times New Roman" w:hAnsi="Times New Roman"/>
          <w:sz w:val="20"/>
          <w:lang w:val="en-US"/>
        </w:rPr>
        <w:t xml:space="preserve">53. L. Lu, P. Jin, G. Pang, Z. Zhang, and G. E. Karniadakis, “Learning nonlinear operators via DeepONet based on the universal approximation theorem of operators,” </w:t>
      </w:r>
      <w:r>
        <w:rPr>
          <w:rFonts w:ascii="Times New Roman" w:hAnsi="Times New Roman"/>
          <w:i/>
          <w:sz w:val="20"/>
          <w:lang w:val="en-US"/>
        </w:rPr>
        <w:t>Nat. Mach. Intell.</w:t>
      </w:r>
      <w:r>
        <w:rPr>
          <w:rFonts w:ascii="Times New Roman" w:hAnsi="Times New Roman"/>
          <w:sz w:val="20"/>
          <w:lang w:val="en-US"/>
        </w:rPr>
        <w:t xml:space="preserve"> </w:t>
      </w:r>
      <w:r>
        <w:rPr>
          <w:rFonts w:ascii="Times New Roman" w:hAnsi="Times New Roman"/>
          <w:b/>
          <w:bCs/>
          <w:sz w:val="20"/>
          <w:lang w:val="en-US"/>
        </w:rPr>
        <w:t>3</w:t>
      </w:r>
      <w:r>
        <w:rPr>
          <w:rFonts w:ascii="Times New Roman" w:hAnsi="Times New Roman"/>
          <w:sz w:val="20"/>
          <w:lang w:val="en-US"/>
        </w:rPr>
        <w:t>, 218 (2021).</w:t>
      </w:r>
    </w:p>
    <w:p w14:paraId="17A4BF28" w14:textId="77777777" w:rsidR="00F256B4" w:rsidRDefault="00000000">
      <w:pPr>
        <w:ind w:left="360" w:hanging="360"/>
        <w:jc w:val="both"/>
        <w:rPr>
          <w:lang w:val="en-US"/>
        </w:rPr>
      </w:pPr>
      <w:r>
        <w:rPr>
          <w:rFonts w:ascii="Times New Roman" w:hAnsi="Times New Roman"/>
          <w:sz w:val="20"/>
          <w:lang w:val="en-US"/>
        </w:rPr>
        <w:t xml:space="preserve">54. Z. Li et al., “Fourier neural operator for parametric partial differential equations,” </w:t>
      </w:r>
      <w:r>
        <w:rPr>
          <w:rFonts w:ascii="Times New Roman" w:hAnsi="Times New Roman"/>
          <w:i/>
          <w:sz w:val="20"/>
          <w:lang w:val="en-US"/>
        </w:rPr>
        <w:t>Proc. International Conference on Learning Representations (ICLR)</w:t>
      </w:r>
      <w:r>
        <w:rPr>
          <w:rFonts w:ascii="Times New Roman" w:hAnsi="Times New Roman"/>
          <w:sz w:val="20"/>
          <w:lang w:val="en-US"/>
        </w:rPr>
        <w:t xml:space="preserve"> (2021).</w:t>
      </w:r>
    </w:p>
    <w:p w14:paraId="26462B43" w14:textId="77777777" w:rsidR="00F256B4" w:rsidRDefault="00000000">
      <w:pPr>
        <w:ind w:left="360" w:hanging="360"/>
        <w:jc w:val="both"/>
        <w:rPr>
          <w:lang w:val="en-US"/>
        </w:rPr>
      </w:pPr>
      <w:r>
        <w:rPr>
          <w:rFonts w:ascii="Times New Roman" w:hAnsi="Times New Roman"/>
          <w:sz w:val="20"/>
          <w:lang w:val="en-US"/>
        </w:rPr>
        <w:t xml:space="preserve">55. N. Kovachki et al., “Neural operator: learning maps between function spaces with applications to PDEs,” </w:t>
      </w:r>
      <w:r>
        <w:rPr>
          <w:rFonts w:ascii="Times New Roman" w:hAnsi="Times New Roman"/>
          <w:i/>
          <w:sz w:val="20"/>
          <w:lang w:val="en-US"/>
        </w:rPr>
        <w:t>J. Mach. Learn. Res.</w:t>
      </w:r>
      <w:r>
        <w:rPr>
          <w:rFonts w:ascii="Times New Roman" w:hAnsi="Times New Roman"/>
          <w:sz w:val="20"/>
          <w:lang w:val="en-US"/>
        </w:rPr>
        <w:t xml:space="preserve"> </w:t>
      </w:r>
      <w:r>
        <w:rPr>
          <w:rFonts w:ascii="Times New Roman" w:hAnsi="Times New Roman"/>
          <w:b/>
          <w:bCs/>
          <w:sz w:val="20"/>
          <w:lang w:val="en-US"/>
        </w:rPr>
        <w:t>24</w:t>
      </w:r>
      <w:r>
        <w:rPr>
          <w:rFonts w:ascii="Times New Roman" w:hAnsi="Times New Roman"/>
          <w:sz w:val="20"/>
          <w:lang w:val="en-US"/>
        </w:rPr>
        <w:t>, 1 (2023).</w:t>
      </w:r>
    </w:p>
    <w:p w14:paraId="6CF678FC" w14:textId="50A3CB10" w:rsidR="00F256B4" w:rsidRDefault="00000000">
      <w:pPr>
        <w:ind w:left="360" w:hanging="360"/>
        <w:jc w:val="both"/>
        <w:rPr>
          <w:lang w:val="en-US"/>
        </w:rPr>
      </w:pPr>
      <w:r>
        <w:rPr>
          <w:rFonts w:ascii="Times New Roman" w:hAnsi="Times New Roman"/>
          <w:sz w:val="20"/>
          <w:lang w:val="en-US"/>
        </w:rPr>
        <w:t xml:space="preserve">56. Z. Li et al., “Physics-informed neural operator for learning partial differential equations,” </w:t>
      </w:r>
      <w:r>
        <w:rPr>
          <w:rFonts w:ascii="Times New Roman" w:hAnsi="Times New Roman"/>
          <w:i/>
          <w:sz w:val="20"/>
          <w:lang w:val="en-US"/>
        </w:rPr>
        <w:t>ACM/IMS J. Data Sci.</w:t>
      </w:r>
      <w:r>
        <w:rPr>
          <w:rFonts w:ascii="Times New Roman" w:hAnsi="Times New Roman"/>
          <w:sz w:val="20"/>
          <w:lang w:val="en-US"/>
        </w:rPr>
        <w:t xml:space="preserve"> </w:t>
      </w:r>
      <w:r>
        <w:rPr>
          <w:rFonts w:ascii="Times New Roman" w:hAnsi="Times New Roman"/>
          <w:b/>
          <w:bCs/>
          <w:sz w:val="20"/>
          <w:lang w:val="en-US"/>
        </w:rPr>
        <w:t>1</w:t>
      </w:r>
      <w:r>
        <w:rPr>
          <w:rFonts w:ascii="Times New Roman" w:hAnsi="Times New Roman"/>
          <w:sz w:val="20"/>
          <w:lang w:val="en-US"/>
        </w:rPr>
        <w:t xml:space="preserve">, </w:t>
      </w:r>
      <w:r>
        <w:rPr>
          <w:rFonts w:ascii="Times New Roman" w:hAnsi="Times New Roman"/>
          <w:sz w:val="20"/>
          <w:lang w:val="en-US"/>
        </w:rPr>
        <w:t>9</w:t>
      </w:r>
      <w:r>
        <w:rPr>
          <w:rFonts w:ascii="Times New Roman" w:hAnsi="Times New Roman"/>
          <w:sz w:val="20"/>
          <w:lang w:val="en-US"/>
        </w:rPr>
        <w:t xml:space="preserve"> (2024).</w:t>
      </w:r>
    </w:p>
    <w:p w14:paraId="468C5EF9" w14:textId="77777777" w:rsidR="00F256B4" w:rsidRDefault="00000000">
      <w:pPr>
        <w:ind w:left="360" w:hanging="360"/>
        <w:jc w:val="both"/>
        <w:rPr>
          <w:lang w:val="en-US"/>
        </w:rPr>
      </w:pPr>
      <w:r>
        <w:rPr>
          <w:rFonts w:ascii="Times New Roman" w:hAnsi="Times New Roman"/>
          <w:sz w:val="20"/>
          <w:lang w:val="en-US"/>
        </w:rPr>
        <w:t xml:space="preserve">57. K. Azizzadenesheli et al., “Neural operators for accelerating scientific simulations and design,” </w:t>
      </w:r>
      <w:r>
        <w:rPr>
          <w:rFonts w:ascii="Times New Roman" w:hAnsi="Times New Roman"/>
          <w:i/>
          <w:sz w:val="20"/>
          <w:lang w:val="en-US"/>
        </w:rPr>
        <w:t>Nat. Rev. Phys.</w:t>
      </w:r>
      <w:r>
        <w:rPr>
          <w:rFonts w:ascii="Times New Roman" w:hAnsi="Times New Roman"/>
          <w:sz w:val="20"/>
          <w:lang w:val="en-US"/>
        </w:rPr>
        <w:t xml:space="preserve"> </w:t>
      </w:r>
      <w:r>
        <w:rPr>
          <w:rFonts w:ascii="Times New Roman" w:hAnsi="Times New Roman"/>
          <w:b/>
          <w:bCs/>
          <w:sz w:val="20"/>
          <w:lang w:val="en-US"/>
        </w:rPr>
        <w:t>6</w:t>
      </w:r>
      <w:r>
        <w:rPr>
          <w:rFonts w:ascii="Times New Roman" w:hAnsi="Times New Roman"/>
          <w:sz w:val="20"/>
          <w:lang w:val="en-US"/>
        </w:rPr>
        <w:t>, 320 (2024).</w:t>
      </w:r>
    </w:p>
    <w:p w14:paraId="122440DD" w14:textId="77777777" w:rsidR="00F256B4" w:rsidRDefault="00000000">
      <w:pPr>
        <w:ind w:left="360" w:hanging="360"/>
        <w:jc w:val="both"/>
        <w:rPr>
          <w:lang w:val="en-US"/>
        </w:rPr>
      </w:pPr>
      <w:r>
        <w:rPr>
          <w:rFonts w:ascii="Times New Roman" w:hAnsi="Times New Roman"/>
          <w:sz w:val="20"/>
          <w:lang w:val="en-US"/>
        </w:rPr>
        <w:t xml:space="preserve">58. Y. Wang et al., “Kolmogorov-Arnold-informed neural network: a physics-informed deep learning framework for solving forward and inverse problems based on Kolmogorov-Arnold Networks,”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433</w:t>
      </w:r>
      <w:r>
        <w:rPr>
          <w:rFonts w:ascii="Times New Roman" w:hAnsi="Times New Roman"/>
          <w:sz w:val="20"/>
          <w:lang w:val="en-US"/>
        </w:rPr>
        <w:t>, 117518 (2025).</w:t>
      </w:r>
    </w:p>
    <w:p w14:paraId="13D91FED" w14:textId="77777777" w:rsidR="00F256B4" w:rsidRDefault="00000000">
      <w:pPr>
        <w:ind w:left="360" w:hanging="360"/>
        <w:jc w:val="both"/>
        <w:rPr>
          <w:lang w:val="en-US"/>
        </w:rPr>
      </w:pPr>
      <w:r>
        <w:rPr>
          <w:rFonts w:ascii="Times New Roman" w:hAnsi="Times New Roman"/>
          <w:sz w:val="20"/>
          <w:lang w:val="en-US"/>
        </w:rPr>
        <w:t xml:space="preserve">59. D. W. Abueidda, P. Pantidis, and M. E. Mobasher, “DeepOKAN: deep operator network based on Kolmogorov Arnold networks for mechanics problems,”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436</w:t>
      </w:r>
      <w:r>
        <w:rPr>
          <w:rFonts w:ascii="Times New Roman" w:hAnsi="Times New Roman"/>
          <w:sz w:val="20"/>
          <w:lang w:val="en-US"/>
        </w:rPr>
        <w:t>, 117699 (2025).</w:t>
      </w:r>
    </w:p>
    <w:p w14:paraId="37A7ED51" w14:textId="77777777" w:rsidR="00F256B4" w:rsidRDefault="00000000">
      <w:pPr>
        <w:ind w:left="360" w:hanging="360"/>
        <w:jc w:val="both"/>
        <w:rPr>
          <w:lang w:val="en-US"/>
        </w:rPr>
      </w:pPr>
      <w:r>
        <w:rPr>
          <w:rFonts w:ascii="Times New Roman" w:hAnsi="Times New Roman"/>
          <w:sz w:val="20"/>
          <w:lang w:val="en-US"/>
        </w:rPr>
        <w:t xml:space="preserve">60. </w:t>
      </w:r>
    </w:p>
    <w:p w14:paraId="40480914" w14:textId="77777777" w:rsidR="00F256B4" w:rsidRDefault="00000000">
      <w:pPr>
        <w:ind w:left="360" w:hanging="360"/>
        <w:jc w:val="both"/>
        <w:rPr>
          <w:lang w:val="en-US"/>
        </w:rPr>
      </w:pPr>
    </w:p>
    <w:p w14:paraId="26911723" w14:textId="77777777" w:rsidR="00F256B4" w:rsidRDefault="00000000">
      <w:pPr>
        <w:ind w:left="360" w:hanging="360"/>
        <w:jc w:val="both"/>
        <w:rPr>
          <w:lang w:val="en-US"/>
        </w:rPr>
      </w:pPr>
    </w:p>
    <w:p w14:paraId="27316F82" w14:textId="77777777" w:rsidR="00F256B4" w:rsidRDefault="00000000">
      <w:pPr>
        <w:ind w:left="360" w:hanging="360"/>
        <w:jc w:val="both"/>
        <w:rPr>
          <w:lang w:val="en-US"/>
        </w:rPr>
      </w:pPr>
    </w:p>
    <w:p w14:paraId="7715118E" w14:textId="36B2155B" w:rsidR="00F256B4" w:rsidRDefault="00000000">
      <w:pPr>
        <w:ind w:left="360" w:hanging="360"/>
        <w:jc w:val="both"/>
        <w:rPr>
          <w:lang w:val="en-US"/>
        </w:rPr>
      </w:pPr>
      <w:r>
        <w:rPr>
          <w:rFonts w:ascii="Times New Roman" w:hAnsi="Times New Roman"/>
          <w:sz w:val="20"/>
          <w:lang w:val="en-US"/>
        </w:rPr>
        <w:t xml:space="preserve">O. Ronneberger, P. Fischer, and T. Brox, “U-Net: convolutional networks for biomedical image segmentation,” </w:t>
      </w:r>
      <w:r>
        <w:rPr>
          <w:rFonts w:ascii="Times New Roman" w:hAnsi="Times New Roman"/>
          <w:i/>
          <w:sz w:val="20"/>
          <w:lang w:val="en-US"/>
        </w:rPr>
        <w:t>Proc. Medical Image Computing and Computer-Assisted Intervention (MICCAI), Lecture Notes in Computer Science</w:t>
      </w:r>
      <w:r>
        <w:rPr>
          <w:rFonts w:ascii="Times New Roman" w:hAnsi="Times New Roman"/>
          <w:sz w:val="20"/>
          <w:lang w:val="en-US"/>
        </w:rPr>
        <w:t xml:space="preserve"> </w:t>
      </w:r>
      <w:r>
        <w:rPr>
          <w:rFonts w:ascii="Times New Roman" w:hAnsi="Times New Roman"/>
          <w:b/>
          <w:bCs/>
          <w:sz w:val="20"/>
          <w:lang w:val="en-US"/>
        </w:rPr>
        <w:t>9351</w:t>
      </w:r>
      <w:r>
        <w:rPr>
          <w:rFonts w:ascii="Times New Roman" w:hAnsi="Times New Roman"/>
          <w:sz w:val="20"/>
          <w:lang w:val="en-US"/>
        </w:rPr>
        <w:t>, 234 (2015).</w:t>
      </w:r>
    </w:p>
    <w:p w14:paraId="7E4F59BC" w14:textId="68EA1727" w:rsidR="00F256B4" w:rsidRDefault="00000000">
      <w:pPr>
        <w:ind w:left="360" w:hanging="360"/>
        <w:jc w:val="both"/>
        <w:rPr>
          <w:lang w:val="en-US"/>
        </w:rPr>
      </w:pPr>
      <w:r>
        <w:rPr>
          <w:rFonts w:ascii="Times New Roman" w:hAnsi="Times New Roman"/>
          <w:sz w:val="20"/>
          <w:lang w:val="en-US"/>
        </w:rPr>
        <w:t>61</w:t>
      </w:r>
      <w:r>
        <w:rPr>
          <w:rFonts w:ascii="Times New Roman" w:hAnsi="Times New Roman"/>
          <w:sz w:val="20"/>
          <w:lang w:val="en-US"/>
        </w:rPr>
        <w:t xml:space="preserve">. A. Dosovitskiy et al., “An image is worth 16x16 words: transformers for image recognition at scale,” </w:t>
      </w:r>
      <w:r>
        <w:rPr>
          <w:rFonts w:ascii="Times New Roman" w:hAnsi="Times New Roman"/>
          <w:i/>
          <w:sz w:val="20"/>
          <w:lang w:val="en-US"/>
        </w:rPr>
        <w:t>Proc. International Conference on Learning Representations (ICLR)</w:t>
      </w:r>
      <w:r>
        <w:rPr>
          <w:rFonts w:ascii="Times New Roman" w:hAnsi="Times New Roman"/>
          <w:sz w:val="20"/>
          <w:lang w:val="en-US"/>
        </w:rPr>
        <w:t xml:space="preserve"> (2021).</w:t>
      </w:r>
    </w:p>
    <w:p w14:paraId="453289BE" w14:textId="77871DDD" w:rsidR="00F256B4" w:rsidRDefault="00000000">
      <w:pPr>
        <w:ind w:left="360" w:hanging="360"/>
        <w:jc w:val="both"/>
        <w:rPr>
          <w:lang w:val="en-US"/>
        </w:rPr>
      </w:pPr>
      <w:r>
        <w:rPr>
          <w:rFonts w:ascii="Times New Roman" w:hAnsi="Times New Roman"/>
          <w:sz w:val="20"/>
          <w:lang w:val="en-US"/>
        </w:rPr>
        <w:t>62</w:t>
      </w:r>
      <w:r>
        <w:rPr>
          <w:rFonts w:ascii="Times New Roman" w:hAnsi="Times New Roman"/>
          <w:sz w:val="20"/>
          <w:lang w:val="en-US"/>
        </w:rPr>
        <w:t xml:space="preserve">. I. Goodfellow et al., “Generative adversarial nets,”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bCs/>
          <w:sz w:val="20"/>
          <w:lang w:val="en-US"/>
        </w:rPr>
        <w:t>27</w:t>
      </w:r>
      <w:r>
        <w:rPr>
          <w:rFonts w:ascii="Times New Roman" w:hAnsi="Times New Roman"/>
          <w:sz w:val="20"/>
          <w:lang w:val="en-US"/>
        </w:rPr>
        <w:t>, 2672 (2014).</w:t>
      </w:r>
    </w:p>
    <w:p w14:paraId="3EDB0F05" w14:textId="15919A4E" w:rsidR="00F256B4" w:rsidRDefault="00000000">
      <w:pPr>
        <w:ind w:left="360" w:hanging="360"/>
        <w:jc w:val="both"/>
        <w:rPr>
          <w:lang w:val="en-US"/>
        </w:rPr>
      </w:pPr>
      <w:r>
        <w:rPr>
          <w:rFonts w:ascii="Times New Roman" w:hAnsi="Times New Roman"/>
          <w:sz w:val="20"/>
          <w:lang w:val="en-US"/>
        </w:rPr>
        <w:t>63</w:t>
      </w:r>
      <w:r>
        <w:rPr>
          <w:rFonts w:ascii="Times New Roman" w:hAnsi="Times New Roman"/>
          <w:sz w:val="20"/>
          <w:lang w:val="en-US"/>
        </w:rPr>
        <w:t xml:space="preserve">. J. Ho, A. Jain, and P. Abbeel, “Denoising diffusion probabilistic models,”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bCs/>
          <w:sz w:val="20"/>
          <w:lang w:val="en-US"/>
        </w:rPr>
        <w:t>33</w:t>
      </w:r>
      <w:r>
        <w:rPr>
          <w:rFonts w:ascii="Times New Roman" w:hAnsi="Times New Roman"/>
          <w:sz w:val="20"/>
          <w:lang w:val="en-US"/>
        </w:rPr>
        <w:t>, 6840 (2020).</w:t>
      </w:r>
    </w:p>
    <w:p w14:paraId="74DC1A37" w14:textId="0DD94EEC" w:rsidR="00F256B4" w:rsidRDefault="00000000">
      <w:pPr>
        <w:ind w:left="360" w:hanging="360"/>
        <w:jc w:val="both"/>
        <w:rPr>
          <w:lang w:val="en-US"/>
        </w:rPr>
      </w:pPr>
      <w:r>
        <w:rPr>
          <w:rFonts w:ascii="Times New Roman" w:hAnsi="Times New Roman"/>
          <w:sz w:val="20"/>
          <w:lang w:val="en-US"/>
        </w:rPr>
        <w:t>64</w:t>
      </w:r>
      <w:r>
        <w:rPr>
          <w:rFonts w:ascii="Times New Roman" w:hAnsi="Times New Roman"/>
          <w:sz w:val="20"/>
          <w:lang w:val="en-US"/>
        </w:rPr>
        <w:t xml:space="preserve">. R. Rombach, A. Blattmann, D. Lorenz, P. Esser, and B. Ommer, “High-resolution image synthesis with latent diffusion models,” </w:t>
      </w:r>
      <w:r>
        <w:rPr>
          <w:rFonts w:ascii="Times New Roman" w:hAnsi="Times New Roman"/>
          <w:i/>
          <w:sz w:val="20"/>
          <w:lang w:val="en-US"/>
        </w:rPr>
        <w:t>Proc. IEEE/CVF Conference on Computer Vision and Pattern Recognition (CVPR)</w:t>
      </w:r>
      <w:r>
        <w:rPr>
          <w:rFonts w:ascii="Times New Roman" w:hAnsi="Times New Roman"/>
          <w:sz w:val="20"/>
          <w:lang w:val="en-US"/>
        </w:rPr>
        <w:t xml:space="preserve"> 10684 (2022).</w:t>
      </w:r>
    </w:p>
    <w:p w14:paraId="3AE6A34C" w14:textId="1EB56F3F" w:rsidR="00F256B4" w:rsidRDefault="00000000">
      <w:pPr>
        <w:ind w:left="360" w:hanging="360"/>
        <w:jc w:val="both"/>
        <w:rPr>
          <w:lang w:val="en-US"/>
        </w:rPr>
      </w:pPr>
      <w:r>
        <w:rPr>
          <w:rFonts w:ascii="Times New Roman" w:hAnsi="Times New Roman"/>
          <w:sz w:val="20"/>
          <w:lang w:val="en-US"/>
        </w:rPr>
        <w:t>65</w:t>
      </w:r>
      <w:r>
        <w:rPr>
          <w:rFonts w:ascii="Times New Roman" w:hAnsi="Times New Roman"/>
          <w:sz w:val="20"/>
          <w:lang w:val="en-US"/>
        </w:rPr>
        <w:t xml:space="preserve">. D. Ha and J. Schmidhuber, “World models,” </w:t>
      </w:r>
      <w:r>
        <w:rPr>
          <w:rFonts w:ascii="Times New Roman" w:hAnsi="Times New Roman"/>
          <w:i/>
          <w:sz w:val="20"/>
          <w:lang w:val="en-US"/>
        </w:rPr>
        <w:t>Adv. Neural Inf. Process. Syst. (NeurIPS)</w:t>
      </w:r>
      <w:r>
        <w:rPr>
          <w:rFonts w:ascii="Times New Roman" w:hAnsi="Times New Roman"/>
          <w:sz w:val="20"/>
          <w:lang w:val="en-US"/>
        </w:rPr>
        <w:t xml:space="preserve"> </w:t>
      </w:r>
      <w:r>
        <w:rPr>
          <w:rFonts w:ascii="Times New Roman" w:hAnsi="Times New Roman"/>
          <w:b/>
          <w:sz w:val="20"/>
          <w:lang w:val="en-US"/>
        </w:rPr>
        <w:t>31</w:t>
      </w:r>
      <w:r>
        <w:rPr>
          <w:rFonts w:ascii="Times New Roman" w:hAnsi="Times New Roman"/>
          <w:sz w:val="20"/>
          <w:lang w:val="en-US"/>
        </w:rPr>
        <w:t xml:space="preserve"> (2018).</w:t>
      </w:r>
    </w:p>
    <w:p w14:paraId="3D136311" w14:textId="31799602" w:rsidR="00F256B4" w:rsidRDefault="00000000">
      <w:pPr>
        <w:ind w:left="360" w:hanging="360"/>
        <w:jc w:val="both"/>
        <w:rPr>
          <w:lang w:val="en-US"/>
        </w:rPr>
      </w:pPr>
      <w:r>
        <w:rPr>
          <w:rFonts w:ascii="Times New Roman" w:hAnsi="Times New Roman"/>
          <w:sz w:val="20"/>
          <w:lang w:val="en-US"/>
        </w:rPr>
        <w:t>66</w:t>
      </w:r>
      <w:r>
        <w:rPr>
          <w:rFonts w:ascii="Times New Roman" w:hAnsi="Times New Roman"/>
          <w:sz w:val="20"/>
          <w:lang w:val="en-US"/>
        </w:rPr>
        <w:t xml:space="preserve">. D. Silver et al., “Mastering the game of Go with deep neural networks and tree search,”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529</w:t>
      </w:r>
      <w:r>
        <w:rPr>
          <w:rFonts w:ascii="Times New Roman" w:hAnsi="Times New Roman"/>
          <w:sz w:val="20"/>
          <w:lang w:val="en-US"/>
        </w:rPr>
        <w:t>, 484 (2016).</w:t>
      </w:r>
    </w:p>
    <w:p w14:paraId="5A004F9F" w14:textId="207CA791" w:rsidR="00F256B4" w:rsidRDefault="00000000">
      <w:pPr>
        <w:ind w:left="360" w:hanging="360"/>
        <w:jc w:val="both"/>
        <w:rPr>
          <w:lang w:val="en-US"/>
        </w:rPr>
      </w:pPr>
      <w:r>
        <w:rPr>
          <w:rFonts w:ascii="Times New Roman" w:hAnsi="Times New Roman"/>
          <w:sz w:val="20"/>
          <w:lang w:val="en-US"/>
        </w:rPr>
        <w:t xml:space="preserve">67. Z. Xu, T. Zhou, M. Ma, C. Deng, Q. Dai, and L. Fang, “Large-scale photonic chiplet Taichi empowers 160-TOPS/W artificial general intelligence,” </w:t>
      </w:r>
      <w:r>
        <w:rPr>
          <w:rFonts w:ascii="Times New Roman" w:hAnsi="Times New Roman"/>
          <w:i/>
          <w:sz w:val="20"/>
          <w:lang w:val="en-US"/>
        </w:rPr>
        <w:t>Science</w:t>
      </w:r>
      <w:r>
        <w:rPr>
          <w:rFonts w:ascii="Times New Roman" w:hAnsi="Times New Roman"/>
          <w:sz w:val="20"/>
          <w:lang w:val="en-US"/>
        </w:rPr>
        <w:t xml:space="preserve"> </w:t>
      </w:r>
      <w:r>
        <w:rPr>
          <w:rFonts w:ascii="Times New Roman" w:hAnsi="Times New Roman"/>
          <w:b/>
          <w:bCs/>
          <w:sz w:val="20"/>
          <w:lang w:val="en-US"/>
        </w:rPr>
        <w:t>384</w:t>
      </w:r>
      <w:r>
        <w:rPr>
          <w:rFonts w:ascii="Times New Roman" w:hAnsi="Times New Roman"/>
          <w:sz w:val="20"/>
          <w:lang w:val="en-US"/>
        </w:rPr>
        <w:t>, 202 (2024).</w:t>
      </w:r>
    </w:p>
    <w:p w14:paraId="1655A787" w14:textId="4E875271" w:rsidR="00F256B4" w:rsidRDefault="00000000">
      <w:pPr>
        <w:ind w:left="360" w:hanging="360"/>
        <w:jc w:val="both"/>
        <w:rPr>
          <w:lang w:val="en-US"/>
        </w:rPr>
      </w:pPr>
      <w:r>
        <w:rPr>
          <w:rFonts w:ascii="Times New Roman" w:hAnsi="Times New Roman"/>
          <w:sz w:val="20"/>
          <w:lang w:val="en-US"/>
        </w:rPr>
        <w:lastRenderedPageBreak/>
        <w:t xml:space="preserve">68. P. Zuo, Q. Wang, Y. Luo, R. Xie, S. Wang, Z. Cheng, L. Bao, Z. Wang, Y. Cai, R. Huang, and Z. Sun, “Precise and scalable analogue matrix equation solving using resistive random-access memory chips,” </w:t>
      </w:r>
      <w:r>
        <w:rPr>
          <w:rFonts w:ascii="Times New Roman" w:hAnsi="Times New Roman"/>
          <w:i/>
          <w:sz w:val="20"/>
          <w:lang w:val="en-US"/>
        </w:rPr>
        <w:t>Nat. Electron.</w:t>
      </w:r>
      <w:r>
        <w:rPr>
          <w:rFonts w:ascii="Times New Roman" w:hAnsi="Times New Roman"/>
          <w:sz w:val="20"/>
          <w:lang w:val="en-US"/>
        </w:rPr>
        <w:t xml:space="preserve"> </w:t>
      </w:r>
      <w:r>
        <w:rPr>
          <w:rFonts w:ascii="Times New Roman" w:hAnsi="Times New Roman"/>
          <w:b/>
          <w:sz w:val="20"/>
          <w:lang w:val="en-US"/>
        </w:rPr>
        <w:t>8</w:t>
      </w:r>
      <w:r>
        <w:rPr>
          <w:rFonts w:ascii="Times New Roman" w:hAnsi="Times New Roman"/>
          <w:sz w:val="20"/>
          <w:lang w:val="en-US"/>
        </w:rPr>
        <w:t>, 1222 (2025).</w:t>
      </w:r>
    </w:p>
    <w:p w14:paraId="2BCC4F74" w14:textId="38729F2E" w:rsidR="00F256B4" w:rsidRDefault="00000000">
      <w:pPr>
        <w:ind w:left="360" w:hanging="360"/>
        <w:jc w:val="both"/>
        <w:rPr>
          <w:lang w:val="en-US"/>
        </w:rPr>
      </w:pPr>
      <w:r>
        <w:rPr>
          <w:rFonts w:ascii="Times New Roman" w:hAnsi="Times New Roman"/>
          <w:sz w:val="20"/>
          <w:lang w:val="en-US"/>
        </w:rPr>
        <w:t>69</w:t>
      </w:r>
      <w:r>
        <w:rPr>
          <w:rFonts w:ascii="Times New Roman" w:hAnsi="Times New Roman"/>
          <w:sz w:val="20"/>
          <w:lang w:val="en-US"/>
        </w:rPr>
        <w:t xml:space="preserve">. S. L. Brunton, B. R. Noack, and P. Koumoutsakos, “Machine learning for fluid mechanics,” </w:t>
      </w:r>
      <w:r>
        <w:rPr>
          <w:rFonts w:ascii="Times New Roman" w:hAnsi="Times New Roman"/>
          <w:i/>
          <w:sz w:val="20"/>
          <w:lang w:val="en-US"/>
        </w:rPr>
        <w:t>Annu. Rev. Fluid Mech.</w:t>
      </w:r>
      <w:r>
        <w:rPr>
          <w:rFonts w:ascii="Times New Roman" w:hAnsi="Times New Roman"/>
          <w:sz w:val="20"/>
          <w:lang w:val="en-US"/>
        </w:rPr>
        <w:t xml:space="preserve"> </w:t>
      </w:r>
      <w:r>
        <w:rPr>
          <w:rFonts w:ascii="Times New Roman" w:hAnsi="Times New Roman"/>
          <w:b/>
          <w:bCs/>
          <w:sz w:val="20"/>
          <w:lang w:val="en-US"/>
        </w:rPr>
        <w:t>52</w:t>
      </w:r>
      <w:r>
        <w:rPr>
          <w:rFonts w:ascii="Times New Roman" w:hAnsi="Times New Roman"/>
          <w:sz w:val="20"/>
          <w:lang w:val="en-US"/>
        </w:rPr>
        <w:t>, 477 (2020).</w:t>
      </w:r>
    </w:p>
    <w:p w14:paraId="5810EB88" w14:textId="69351B2C" w:rsidR="00F256B4" w:rsidRDefault="00000000">
      <w:pPr>
        <w:ind w:left="360" w:hanging="360"/>
        <w:jc w:val="both"/>
        <w:rPr>
          <w:lang w:val="en-US"/>
        </w:rPr>
      </w:pPr>
      <w:r>
        <w:rPr>
          <w:rFonts w:ascii="Times New Roman" w:hAnsi="Times New Roman"/>
          <w:sz w:val="20"/>
          <w:lang w:val="en-US"/>
        </w:rPr>
        <w:t>70</w:t>
      </w:r>
      <w:r>
        <w:rPr>
          <w:rFonts w:ascii="Times New Roman" w:hAnsi="Times New Roman"/>
          <w:sz w:val="20"/>
          <w:lang w:val="en-US"/>
        </w:rPr>
        <w:t xml:space="preserve">. S. L. Brunton, J. L. Proctor, and J. N. Kutz, “Discovering governing equations from data by sparse identification of nonlinear dynamical systems,” </w:t>
      </w:r>
      <w:r>
        <w:rPr>
          <w:rFonts w:ascii="Times New Roman" w:hAnsi="Times New Roman"/>
          <w:i/>
          <w:sz w:val="20"/>
          <w:lang w:val="en-US"/>
        </w:rPr>
        <w:t>Proc. Natl. Acad. Sci. U.S.A.</w:t>
      </w:r>
      <w:r>
        <w:rPr>
          <w:rFonts w:ascii="Times New Roman" w:hAnsi="Times New Roman"/>
          <w:sz w:val="20"/>
          <w:lang w:val="en-US"/>
        </w:rPr>
        <w:t xml:space="preserve"> </w:t>
      </w:r>
      <w:r>
        <w:rPr>
          <w:rFonts w:ascii="Times New Roman" w:hAnsi="Times New Roman"/>
          <w:b/>
          <w:bCs/>
          <w:sz w:val="20"/>
          <w:lang w:val="en-US"/>
        </w:rPr>
        <w:t>113</w:t>
      </w:r>
      <w:r>
        <w:rPr>
          <w:rFonts w:ascii="Times New Roman" w:hAnsi="Times New Roman"/>
          <w:sz w:val="20"/>
          <w:lang w:val="en-US"/>
        </w:rPr>
        <w:t>, 3932 (2016).</w:t>
      </w:r>
    </w:p>
    <w:p w14:paraId="1C28AACF" w14:textId="35605B59" w:rsidR="00F256B4" w:rsidRDefault="00000000">
      <w:pPr>
        <w:ind w:left="360" w:hanging="360"/>
        <w:jc w:val="both"/>
        <w:rPr>
          <w:lang w:val="en-US"/>
        </w:rPr>
      </w:pPr>
      <w:r>
        <w:rPr>
          <w:rFonts w:ascii="Times New Roman" w:hAnsi="Times New Roman"/>
          <w:sz w:val="20"/>
          <w:lang w:val="en-US"/>
        </w:rPr>
        <w:t>71</w:t>
      </w:r>
      <w:r>
        <w:rPr>
          <w:rFonts w:ascii="Times New Roman" w:hAnsi="Times New Roman"/>
          <w:sz w:val="20"/>
          <w:lang w:val="en-US"/>
        </w:rPr>
        <w:t xml:space="preserve">. R. Vinuesa and S. L. Brunton, “Enhancing computational fluid dynamics with machine learning,” </w:t>
      </w:r>
      <w:r>
        <w:rPr>
          <w:rFonts w:ascii="Times New Roman" w:hAnsi="Times New Roman"/>
          <w:i/>
          <w:sz w:val="20"/>
          <w:lang w:val="en-US"/>
        </w:rPr>
        <w:t>Nat. Comput. Sci.</w:t>
      </w:r>
      <w:r>
        <w:rPr>
          <w:rFonts w:ascii="Times New Roman" w:hAnsi="Times New Roman"/>
          <w:sz w:val="20"/>
          <w:lang w:val="en-US"/>
        </w:rPr>
        <w:t xml:space="preserve"> </w:t>
      </w:r>
      <w:r>
        <w:rPr>
          <w:rFonts w:ascii="Times New Roman" w:hAnsi="Times New Roman"/>
          <w:b/>
          <w:bCs/>
          <w:sz w:val="20"/>
          <w:lang w:val="en-US"/>
        </w:rPr>
        <w:t>2</w:t>
      </w:r>
      <w:r>
        <w:rPr>
          <w:rFonts w:ascii="Times New Roman" w:hAnsi="Times New Roman"/>
          <w:sz w:val="20"/>
          <w:lang w:val="en-US"/>
        </w:rPr>
        <w:t>, 358 (2022).</w:t>
      </w:r>
    </w:p>
    <w:p w14:paraId="5A004F96" w14:textId="4C9D428B" w:rsidR="00F256B4" w:rsidRDefault="00000000">
      <w:pPr>
        <w:ind w:left="360" w:hanging="360"/>
        <w:jc w:val="both"/>
        <w:rPr>
          <w:lang w:val="en-US"/>
        </w:rPr>
      </w:pPr>
      <w:r>
        <w:rPr>
          <w:rFonts w:ascii="Times New Roman" w:hAnsi="Times New Roman"/>
          <w:sz w:val="20"/>
          <w:lang w:val="en-US"/>
        </w:rPr>
        <w:t xml:space="preserve">72. S. Wang, Y. Teng, and P. Perdikaris, “Understanding and mitigating gradient flow pathologies in physics-informed neural networks,” </w:t>
      </w:r>
      <w:r>
        <w:rPr>
          <w:rFonts w:ascii="Times New Roman" w:hAnsi="Times New Roman"/>
          <w:i/>
          <w:sz w:val="20"/>
          <w:lang w:val="en-US"/>
        </w:rPr>
        <w:t>SIAM J. Sci. Comput.</w:t>
      </w:r>
      <w:r>
        <w:rPr>
          <w:rFonts w:ascii="Times New Roman" w:hAnsi="Times New Roman"/>
          <w:sz w:val="20"/>
          <w:lang w:val="en-US"/>
        </w:rPr>
        <w:t xml:space="preserve"> </w:t>
      </w:r>
      <w:r>
        <w:rPr>
          <w:rFonts w:ascii="Times New Roman" w:hAnsi="Times New Roman"/>
          <w:b/>
          <w:bCs/>
          <w:sz w:val="20"/>
          <w:lang w:val="en-US"/>
        </w:rPr>
        <w:t>43</w:t>
      </w:r>
      <w:r>
        <w:rPr>
          <w:rFonts w:ascii="Times New Roman" w:hAnsi="Times New Roman"/>
          <w:sz w:val="20"/>
          <w:lang w:val="en-US"/>
        </w:rPr>
        <w:t>, A3055 (2021).</w:t>
      </w:r>
    </w:p>
    <w:p w14:paraId="5A004F99" w14:textId="2051714B" w:rsidR="00F256B4" w:rsidRDefault="00000000">
      <w:pPr>
        <w:ind w:left="360" w:hanging="360"/>
        <w:jc w:val="both"/>
        <w:rPr>
          <w:lang w:val="en-US"/>
        </w:rPr>
      </w:pPr>
      <w:r>
        <w:rPr>
          <w:rFonts w:ascii="Times New Roman" w:hAnsi="Times New Roman"/>
          <w:sz w:val="20"/>
          <w:lang w:val="en-US"/>
        </w:rPr>
        <w:t xml:space="preserve">73. S. Wang, H. Wang, and P. Perdikaris, “On the eigenvector bias of Fourier feature networks: from regression to solving multi-scale PDEs with physics-informed neural networks,”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384</w:t>
      </w:r>
      <w:r>
        <w:rPr>
          <w:rFonts w:ascii="Times New Roman" w:hAnsi="Times New Roman"/>
          <w:sz w:val="20"/>
          <w:lang w:val="en-US"/>
        </w:rPr>
        <w:t>, 113938 (2021).</w:t>
      </w:r>
    </w:p>
    <w:p w14:paraId="5A004F9C" w14:textId="6F740BF5" w:rsidR="00F256B4" w:rsidRDefault="00000000">
      <w:pPr>
        <w:ind w:left="360" w:hanging="360"/>
        <w:jc w:val="both"/>
        <w:rPr>
          <w:lang w:val="en-US"/>
        </w:rPr>
      </w:pPr>
      <w:r>
        <w:rPr>
          <w:rFonts w:ascii="Times New Roman" w:hAnsi="Times New Roman"/>
          <w:sz w:val="20"/>
          <w:lang w:val="en-US"/>
        </w:rPr>
        <w:t xml:space="preserve">74. S. Wang, S. Sankaran, and P. Perdikaris, “Respecting causality for training physics-informed neural networks,” </w:t>
      </w:r>
      <w:r>
        <w:rPr>
          <w:rFonts w:ascii="Times New Roman" w:hAnsi="Times New Roman"/>
          <w:i/>
          <w:sz w:val="20"/>
          <w:lang w:val="en-US"/>
        </w:rPr>
        <w:t>Comput. Methods Appl. Mech. Eng.</w:t>
      </w:r>
      <w:r>
        <w:rPr>
          <w:rFonts w:ascii="Times New Roman" w:hAnsi="Times New Roman"/>
          <w:sz w:val="20"/>
          <w:lang w:val="en-US"/>
        </w:rPr>
        <w:t xml:space="preserve"> </w:t>
      </w:r>
      <w:r>
        <w:rPr>
          <w:rFonts w:ascii="Times New Roman" w:hAnsi="Times New Roman"/>
          <w:b/>
          <w:bCs/>
          <w:sz w:val="20"/>
          <w:lang w:val="en-US"/>
        </w:rPr>
        <w:t>421</w:t>
      </w:r>
      <w:r>
        <w:rPr>
          <w:rFonts w:ascii="Times New Roman" w:hAnsi="Times New Roman"/>
          <w:sz w:val="20"/>
          <w:lang w:val="en-US"/>
        </w:rPr>
        <w:t>, 116813 (2024).</w:t>
      </w:r>
    </w:p>
    <w:p w14:paraId="715044A2" w14:textId="51FB9B4E" w:rsidR="00F256B4" w:rsidRDefault="00000000">
      <w:pPr>
        <w:ind w:left="360" w:hanging="360"/>
        <w:jc w:val="both"/>
        <w:rPr>
          <w:lang w:val="en-US"/>
        </w:rPr>
      </w:pPr>
      <w:r>
        <w:rPr>
          <w:rFonts w:ascii="Times New Roman" w:hAnsi="Times New Roman"/>
          <w:sz w:val="20"/>
          <w:lang w:val="en-US"/>
        </w:rPr>
        <w:t>75</w:t>
      </w:r>
      <w:r>
        <w:rPr>
          <w:rFonts w:ascii="Times New Roman" w:hAnsi="Times New Roman"/>
          <w:sz w:val="20"/>
          <w:lang w:val="en-US"/>
        </w:rPr>
        <w:t xml:space="preserve">. D. Kochkov et al., “Machine learning-accelerated computational fluid dynamics,” </w:t>
      </w:r>
      <w:r>
        <w:rPr>
          <w:rFonts w:ascii="Times New Roman" w:hAnsi="Times New Roman"/>
          <w:i/>
          <w:sz w:val="20"/>
          <w:lang w:val="en-US"/>
        </w:rPr>
        <w:t>Proc. Natl. Acad. Sci. U.S.A.</w:t>
      </w:r>
      <w:r>
        <w:rPr>
          <w:rFonts w:ascii="Times New Roman" w:hAnsi="Times New Roman"/>
          <w:sz w:val="20"/>
          <w:lang w:val="en-US"/>
        </w:rPr>
        <w:t xml:space="preserve"> </w:t>
      </w:r>
      <w:r>
        <w:rPr>
          <w:rFonts w:ascii="Times New Roman" w:hAnsi="Times New Roman"/>
          <w:b/>
          <w:bCs/>
          <w:sz w:val="20"/>
          <w:lang w:val="en-US"/>
        </w:rPr>
        <w:t>118</w:t>
      </w:r>
      <w:r>
        <w:rPr>
          <w:rFonts w:ascii="Times New Roman" w:hAnsi="Times New Roman"/>
          <w:sz w:val="20"/>
          <w:lang w:val="en-US"/>
        </w:rPr>
        <w:t>, e2101784118 (2021).</w:t>
      </w:r>
    </w:p>
    <w:p w14:paraId="26D9A351" w14:textId="480EA6D6" w:rsidR="00F256B4" w:rsidRDefault="00000000">
      <w:pPr>
        <w:ind w:left="360" w:hanging="360"/>
        <w:jc w:val="both"/>
        <w:rPr>
          <w:lang w:val="en-US"/>
        </w:rPr>
      </w:pPr>
      <w:r>
        <w:rPr>
          <w:rFonts w:ascii="Times New Roman" w:hAnsi="Times New Roman"/>
          <w:sz w:val="20"/>
          <w:lang w:val="en-US"/>
        </w:rPr>
        <w:t>76.</w:t>
      </w:r>
      <w:r>
        <w:rPr>
          <w:rFonts w:ascii="Times New Roman" w:hAnsi="Times New Roman"/>
          <w:sz w:val="20"/>
          <w:lang w:val="en-US"/>
        </w:rPr>
        <w:t xml:space="preserve"> K. Bi et al., “Accurate medium-range global weather forecasting with 3D neural networks,” </w:t>
      </w:r>
      <w:r>
        <w:rPr>
          <w:rFonts w:ascii="Times New Roman" w:hAnsi="Times New Roman"/>
          <w:i/>
          <w:sz w:val="20"/>
          <w:lang w:val="en-US"/>
        </w:rPr>
        <w:t>Nature</w:t>
      </w:r>
      <w:r>
        <w:rPr>
          <w:rFonts w:ascii="Times New Roman" w:hAnsi="Times New Roman"/>
          <w:sz w:val="20"/>
          <w:lang w:val="en-US"/>
        </w:rPr>
        <w:t xml:space="preserve"> </w:t>
      </w:r>
      <w:r>
        <w:rPr>
          <w:rFonts w:ascii="Times New Roman" w:hAnsi="Times New Roman"/>
          <w:b/>
          <w:bCs/>
          <w:sz w:val="20"/>
          <w:lang w:val="en-US"/>
        </w:rPr>
        <w:t>619</w:t>
      </w:r>
      <w:r>
        <w:rPr>
          <w:rFonts w:ascii="Times New Roman" w:hAnsi="Times New Roman"/>
          <w:sz w:val="20"/>
          <w:lang w:val="en-US"/>
        </w:rPr>
        <w:t>, 533 (2023).</w:t>
      </w:r>
    </w:p>
    <w:p w14:paraId="065B22BC" w14:textId="75233F7F" w:rsidR="00F256B4" w:rsidRDefault="00000000">
      <w:pPr>
        <w:ind w:left="360" w:hanging="360"/>
        <w:jc w:val="both"/>
        <w:rPr>
          <w:lang w:val="en-US"/>
        </w:rPr>
      </w:pPr>
      <w:r>
        <w:rPr>
          <w:rFonts w:ascii="Times New Roman" w:hAnsi="Times New Roman"/>
          <w:sz w:val="20"/>
          <w:lang w:val="en-US"/>
        </w:rPr>
        <w:t>77</w:t>
      </w:r>
      <w:r>
        <w:rPr>
          <w:rFonts w:ascii="Times New Roman" w:hAnsi="Times New Roman"/>
          <w:sz w:val="20"/>
          <w:lang w:val="en-US"/>
        </w:rPr>
        <w:t xml:space="preserve">. R. Lam et al., “Learning skillful medium-range global weather forecasting,” </w:t>
      </w:r>
      <w:r>
        <w:rPr>
          <w:rFonts w:ascii="Times New Roman" w:hAnsi="Times New Roman"/>
          <w:i/>
          <w:sz w:val="20"/>
          <w:lang w:val="en-US"/>
        </w:rPr>
        <w:t>Science</w:t>
      </w:r>
      <w:r>
        <w:rPr>
          <w:rFonts w:ascii="Times New Roman" w:hAnsi="Times New Roman"/>
          <w:sz w:val="20"/>
          <w:lang w:val="en-US"/>
        </w:rPr>
        <w:t xml:space="preserve"> </w:t>
      </w:r>
      <w:r>
        <w:rPr>
          <w:rFonts w:ascii="Times New Roman" w:hAnsi="Times New Roman"/>
          <w:b/>
          <w:bCs/>
          <w:sz w:val="20"/>
          <w:lang w:val="en-US"/>
        </w:rPr>
        <w:t>382</w:t>
      </w:r>
      <w:r>
        <w:rPr>
          <w:rFonts w:ascii="Times New Roman" w:hAnsi="Times New Roman"/>
          <w:sz w:val="20"/>
          <w:lang w:val="en-US"/>
        </w:rPr>
        <w:t>, 1416 (2023).</w:t>
      </w:r>
    </w:p>
    <w:p w14:paraId="0BAA7F13" w14:textId="6447F095" w:rsidR="00F256B4" w:rsidRDefault="00000000">
      <w:pPr>
        <w:ind w:left="360" w:hanging="360"/>
        <w:jc w:val="both"/>
        <w:rPr>
          <w:lang w:val="en-US"/>
        </w:rPr>
      </w:pPr>
      <w:r>
        <w:rPr>
          <w:rFonts w:ascii="Times New Roman" w:hAnsi="Times New Roman"/>
          <w:sz w:val="20"/>
          <w:lang w:val="en-US"/>
        </w:rPr>
        <w:t xml:space="preserve">78. </w:t>
      </w:r>
      <w:r>
        <w:rPr>
          <w:rFonts w:ascii="Times New Roman" w:hAnsi="Times New Roman"/>
          <w:sz w:val="20"/>
          <w:lang w:val="en-US"/>
        </w:rPr>
        <w:t xml:space="preserve">F. Mostajeran and S. A. Faroughi, “Scaled-cPIKANs: spatial variable and residual scaling in Chebyshev-based physics-informed Kolmogorov-Arnold networks,” </w:t>
      </w:r>
      <w:r>
        <w:rPr>
          <w:rFonts w:ascii="Times New Roman" w:hAnsi="Times New Roman"/>
          <w:i/>
          <w:sz w:val="20"/>
          <w:lang w:val="en-US"/>
        </w:rPr>
        <w:t>J. Comput. Phys.</w:t>
      </w:r>
      <w:r>
        <w:rPr>
          <w:rFonts w:ascii="Times New Roman" w:hAnsi="Times New Roman"/>
          <w:sz w:val="20"/>
          <w:lang w:val="en-US"/>
        </w:rPr>
        <w:t xml:space="preserve"> </w:t>
      </w:r>
      <w:r>
        <w:rPr>
          <w:rFonts w:ascii="Times New Roman" w:hAnsi="Times New Roman"/>
          <w:b/>
          <w:bCs/>
          <w:sz w:val="20"/>
          <w:lang w:val="en-US"/>
        </w:rPr>
        <w:t>537</w:t>
      </w:r>
      <w:r>
        <w:rPr>
          <w:rFonts w:ascii="Times New Roman" w:hAnsi="Times New Roman"/>
          <w:sz w:val="20"/>
          <w:lang w:val="en-US"/>
        </w:rPr>
        <w:t>, 114116 (2025).</w:t>
      </w:r>
    </w:p>
    <w:p w14:paraId="2F65FFDA" w14:textId="1B386367" w:rsidR="00F256B4" w:rsidRDefault="00000000">
      <w:pPr>
        <w:ind w:left="360" w:hanging="360"/>
        <w:jc w:val="both"/>
        <w:rPr>
          <w:lang w:val="en-US"/>
        </w:rPr>
      </w:pPr>
      <w:r>
        <w:rPr>
          <w:rFonts w:ascii="Times New Roman" w:hAnsi="Times New Roman"/>
          <w:sz w:val="20"/>
          <w:lang w:val="en-US"/>
        </w:rPr>
        <w:t>79</w:t>
      </w:r>
      <w:r>
        <w:rPr>
          <w:rFonts w:ascii="Times New Roman" w:hAnsi="Times New Roman"/>
          <w:sz w:val="20"/>
          <w:lang w:val="en-US"/>
        </w:rPr>
        <w:t>. Q. Jiang and G. E. Karniadakis</w:t>
      </w:r>
      <w:r>
        <w:rPr>
          <w:rStyle w:val="af2"/>
          <w:rFonts w:ascii="Times New Roman" w:hAnsi="Times New Roman"/>
          <w:sz w:val="20"/>
          <w:szCs w:val="22"/>
          <w:lang w:val="en-US"/>
        </w:rPr>
      </w:r>
      <w:r>
        <w:rPr>
          <w:rFonts w:ascii="Times New Roman" w:hAnsi="Times New Roman"/>
          <w:sz w:val="20"/>
          <w:lang w:val="en-US"/>
        </w:rPr>
        <w:t xml:space="preserve">, “AgenticSciML: collaborative multi-agent systems for emergent discovery in scientific machine learning,” </w:t>
      </w:r>
      <w:r>
        <w:rPr>
          <w:rFonts w:ascii="Times New Roman" w:hAnsi="Times New Roman"/>
          <w:i/>
          <w:sz w:val="20"/>
          <w:lang w:val="en-US"/>
        </w:rPr>
        <w:t>npj Artif. Intell.</w:t>
      </w:r>
      <w:r>
        <w:rPr>
          <w:rFonts w:ascii="Times New Roman" w:hAnsi="Times New Roman"/>
          <w:sz w:val="20"/>
          <w:lang w:val="en-US"/>
        </w:rPr>
        <w:t xml:space="preserve"> </w:t>
      </w:r>
      <w:r>
        <w:rPr>
          <w:rFonts w:ascii="Times New Roman" w:hAnsi="Times New Roman"/>
          <w:b/>
          <w:bCs/>
          <w:sz w:val="20"/>
          <w:lang w:val="en-US"/>
        </w:rPr>
        <w:t>2</w:t>
      </w:r>
      <w:r>
        <w:rPr>
          <w:rFonts w:ascii="Times New Roman" w:hAnsi="Times New Roman"/>
          <w:sz w:val="20"/>
          <w:lang w:val="en-US"/>
        </w:rPr>
        <w:t>, 57 (2026).</w:t>
      </w:r>
    </w:p>
    <w:p w14:paraId="5F2D77FA" w14:textId="6CAC944A" w:rsidR="00F256B4" w:rsidRDefault="00000000">
      <w:pPr>
        <w:ind w:left="360" w:hanging="360"/>
        <w:jc w:val="both"/>
        <w:rPr>
          <w:lang w:val="en-US"/>
        </w:rPr>
      </w:pPr>
      <w:r>
        <w:rPr>
          <w:rFonts w:ascii="Times New Roman" w:hAnsi="Times New Roman"/>
          <w:sz w:val="20"/>
          <w:lang w:val="en-US"/>
        </w:rPr>
        <w:t xml:space="preserve">80. Y. Zhao, X. Xiao, A. Descos, Y. Yuan, X. Yu, G. Kurczveil, M. Fiorentino, Z. Zhang, and R. G. Beausoleil, “Experimental </w:t>
      </w:r>
      <w:r w:rsidR="00956E03" w:rsidRPr="00956E03">
        <w:rPr>
          <w:rFonts w:ascii="Times New Roman" w:hAnsi="Times New Roman" w:cs="Times New Roman"/>
          <w:sz w:val="20"/>
          <w:lang w:val="en-US"/>
        </w:rPr>
        <w:t>Demonstration of an Optical Neural PDE Solver via On-Chip PINN Training,” in Optical Fiber Communication Conference (OFC) 2025, Technical Digest Series (Optica Publishing Group, 2025), paper W3D.4</w:t>
      </w:r>
      <w:r>
        <w:rPr>
          <w:rFonts w:ascii="Times New Roman" w:hAnsi="Times New Roman"/>
          <w:sz w:val="20"/>
          <w:lang w:val="en-US"/>
        </w:rPr>
        <w:t>.</w:t>
      </w:r>
    </w:p>
    <w:p w14:paraId="6E60952C" w14:textId="2A03E5C1" w:rsidR="00F256B4" w:rsidRDefault="00000000">
      <w:pPr>
        <w:ind w:left="360" w:hanging="360"/>
        <w:jc w:val="both"/>
        <w:rPr>
          <w:lang w:val="en-US"/>
        </w:rPr>
      </w:pPr>
      <w:r>
        <w:rPr>
          <w:rFonts w:ascii="Times New Roman" w:hAnsi="Times New Roman"/>
          <w:sz w:val="20"/>
          <w:lang w:val="en-US"/>
        </w:rPr>
        <w:t xml:space="preserve">81. J. Li et al., “Memristive floating-point Fourier neural operator network for efficient scientific modeling,” </w:t>
      </w:r>
      <w:r>
        <w:rPr>
          <w:rFonts w:ascii="Times New Roman" w:hAnsi="Times New Roman"/>
          <w:i/>
          <w:sz w:val="20"/>
          <w:lang w:val="en-US"/>
        </w:rPr>
        <w:t>Sci. Adv.</w:t>
      </w:r>
      <w:r>
        <w:rPr>
          <w:rFonts w:ascii="Times New Roman" w:hAnsi="Times New Roman"/>
          <w:sz w:val="20"/>
          <w:lang w:val="en-US"/>
        </w:rPr>
        <w:t xml:space="preserve"> </w:t>
      </w:r>
      <w:r>
        <w:rPr>
          <w:rFonts w:ascii="Times New Roman" w:hAnsi="Times New Roman"/>
          <w:b/>
          <w:bCs/>
          <w:sz w:val="20"/>
          <w:lang w:val="en-US"/>
        </w:rPr>
        <w:t>11</w:t>
      </w:r>
      <w:r>
        <w:rPr>
          <w:rFonts w:ascii="Times New Roman" w:hAnsi="Times New Roman"/>
          <w:sz w:val="20"/>
          <w:lang w:val="en-US"/>
        </w:rPr>
        <w:t>, eadv4446 (2025).</w:t>
      </w:r>
    </w:p>
    <w:p w14:paraId="0A47B3A5" w14:textId="7291EE42" w:rsidR="00F256B4" w:rsidRDefault="00000000">
      <w:pPr>
        <w:ind w:left="360" w:hanging="360"/>
        <w:jc w:val="both"/>
        <w:rPr>
          <w:lang w:val="en-US"/>
        </w:rPr>
      </w:pPr>
      <w:r>
        <w:rPr>
          <w:rFonts w:ascii="Times New Roman" w:hAnsi="Times New Roman"/>
          <w:sz w:val="20"/>
          <w:lang w:val="en-US"/>
        </w:rPr>
        <w:t xml:space="preserve">82. N. Mohammadi Estakhri, B. Edwards, and N. Engheta, “Inverse-designed metastructures that solve equations,” </w:t>
      </w:r>
      <w:r>
        <w:rPr>
          <w:rFonts w:ascii="Times New Roman" w:hAnsi="Times New Roman"/>
          <w:i/>
          <w:sz w:val="20"/>
          <w:lang w:val="en-US"/>
        </w:rPr>
        <w:t>Science</w:t>
      </w:r>
      <w:r>
        <w:rPr>
          <w:rFonts w:ascii="Times New Roman" w:hAnsi="Times New Roman"/>
          <w:sz w:val="20"/>
          <w:lang w:val="en-US"/>
        </w:rPr>
        <w:t xml:space="preserve"> </w:t>
      </w:r>
      <w:r>
        <w:rPr>
          <w:rFonts w:ascii="Times New Roman" w:hAnsi="Times New Roman"/>
          <w:b/>
          <w:bCs/>
          <w:sz w:val="20"/>
          <w:lang w:val="en-US"/>
        </w:rPr>
        <w:t>363</w:t>
      </w:r>
      <w:r>
        <w:rPr>
          <w:rFonts w:ascii="Times New Roman" w:hAnsi="Times New Roman"/>
          <w:sz w:val="20"/>
          <w:lang w:val="en-US"/>
        </w:rPr>
        <w:t>, 1333 (2019)</w:t>
      </w:r>
      <w:r>
        <w:rPr>
          <w:rStyle w:val="af2"/>
          <w:rFonts w:ascii="Times New Roman" w:hAnsi="Times New Roman"/>
          <w:sz w:val="20"/>
          <w:szCs w:val="22"/>
          <w:lang w:val="en-US"/>
        </w:rPr>
      </w:r>
      <w:r>
        <w:rPr>
          <w:rFonts w:ascii="Times New Roman" w:hAnsi="Times New Roman"/>
          <w:sz w:val="20"/>
          <w:lang w:val="en-US"/>
        </w:rPr>
        <w:t>.</w:t>
      </w:r>
    </w:p>
    <w:p w14:paraId="7BC381C0" w14:textId="636E4F50" w:rsidR="00F256B4" w:rsidRDefault="00000000">
      <w:pPr>
        <w:ind w:left="360" w:hanging="360"/>
        <w:jc w:val="both"/>
        <w:rPr>
          <w:lang w:val="en-US"/>
        </w:rPr>
      </w:pPr>
      <w:r>
        <w:rPr>
          <w:rFonts w:ascii="Times New Roman" w:hAnsi="Times New Roman"/>
          <w:sz w:val="20"/>
          <w:lang w:val="en-US"/>
        </w:rPr>
        <w:t xml:space="preserve">83. Z. Sun, G. Pedretti, E. Ambrosi, A. Bricalli, W. Wang, and D. Ielmini, “Solving matrix equations in one step with cross-point resistive arrays,” </w:t>
      </w:r>
      <w:r>
        <w:rPr>
          <w:rFonts w:ascii="Times New Roman" w:hAnsi="Times New Roman"/>
          <w:i/>
          <w:sz w:val="20"/>
          <w:lang w:val="en-US"/>
        </w:rPr>
        <w:t>Proc. Natl. Acad. Sci. U.S.A.</w:t>
      </w:r>
      <w:r>
        <w:rPr>
          <w:rFonts w:ascii="Times New Roman" w:hAnsi="Times New Roman"/>
          <w:sz w:val="20"/>
          <w:lang w:val="en-US"/>
        </w:rPr>
        <w:t xml:space="preserve"> </w:t>
      </w:r>
      <w:r>
        <w:rPr>
          <w:rFonts w:ascii="Times New Roman" w:hAnsi="Times New Roman"/>
          <w:b/>
          <w:bCs/>
          <w:sz w:val="20"/>
          <w:lang w:val="en-US"/>
        </w:rPr>
        <w:t>116</w:t>
      </w:r>
      <w:r>
        <w:rPr>
          <w:rFonts w:ascii="Times New Roman" w:hAnsi="Times New Roman"/>
          <w:sz w:val="20"/>
          <w:lang w:val="en-US"/>
        </w:rPr>
        <w:t>, 4123 (2019).</w:t>
      </w:r>
    </w:p>
    <w:p w14:paraId="6F08946C" w14:textId="19E59B4A" w:rsidR="00F256B4" w:rsidRDefault="00000000">
      <w:pPr>
        <w:ind w:left="360" w:hanging="360"/>
        <w:jc w:val="both"/>
        <w:rPr>
          <w:lang w:val="en-US"/>
        </w:rPr>
      </w:pPr>
      <w:r>
        <w:rPr>
          <w:rFonts w:ascii="Times New Roman" w:hAnsi="Times New Roman"/>
          <w:sz w:val="20"/>
          <w:lang w:val="en-US"/>
        </w:rPr>
        <w:t xml:space="preserve">84. M. Aifer, K. Donatella, M. H. Gordon, S. Duffield, T. Ahle, D. Simpson, G. Crooks, and P. J. Coles, “Thermodynamic linear algebra,” </w:t>
      </w:r>
      <w:r>
        <w:rPr>
          <w:rFonts w:ascii="Times New Roman" w:hAnsi="Times New Roman"/>
          <w:i/>
          <w:sz w:val="20"/>
          <w:lang w:val="en-US"/>
        </w:rPr>
        <w:t>npj Unconv. Comput.</w:t>
      </w:r>
      <w:r>
        <w:rPr>
          <w:rFonts w:ascii="Times New Roman" w:hAnsi="Times New Roman"/>
          <w:sz w:val="20"/>
          <w:lang w:val="en-US"/>
        </w:rPr>
        <w:t xml:space="preserve"> </w:t>
      </w:r>
      <w:r>
        <w:rPr>
          <w:rFonts w:ascii="Times New Roman" w:hAnsi="Times New Roman"/>
          <w:b/>
          <w:bCs/>
          <w:sz w:val="20"/>
          <w:lang w:val="en-US"/>
        </w:rPr>
        <w:t>1</w:t>
      </w:r>
      <w:r>
        <w:rPr>
          <w:rFonts w:ascii="Times New Roman" w:hAnsi="Times New Roman"/>
          <w:sz w:val="20"/>
          <w:lang w:val="en-US"/>
        </w:rPr>
        <w:t>, 13 (2024).</w:t>
      </w:r>
    </w:p>
    <w:p w14:paraId="0142F8C3" w14:textId="77777777" w:rsidR="00956E03" w:rsidRDefault="00000000" w:rsidP="00956E03">
      <w:pPr>
        <w:ind w:left="360" w:hanging="360"/>
        <w:jc w:val="both"/>
        <w:rPr>
          <w:rFonts w:ascii="Times New Roman" w:hAnsi="Times New Roman"/>
          <w:sz w:val="20"/>
          <w:lang w:val="en-US"/>
        </w:rPr>
      </w:pPr>
      <w:r>
        <w:rPr>
          <w:rFonts w:ascii="Times New Roman" w:hAnsi="Times New Roman"/>
          <w:sz w:val="20"/>
          <w:lang w:val="en-US"/>
        </w:rPr>
        <w:t xml:space="preserve">85. D. Melanson et al., “Thermodynamic computing system for AI applications,” </w:t>
      </w:r>
      <w:r>
        <w:rPr>
          <w:rFonts w:ascii="Times New Roman" w:hAnsi="Times New Roman"/>
          <w:i/>
          <w:sz w:val="20"/>
          <w:lang w:val="en-US"/>
        </w:rPr>
        <w:t>Nat. Commun.</w:t>
      </w:r>
      <w:r>
        <w:rPr>
          <w:rFonts w:ascii="Times New Roman" w:hAnsi="Times New Roman"/>
          <w:sz w:val="20"/>
          <w:lang w:val="en-US"/>
        </w:rPr>
        <w:t xml:space="preserve"> </w:t>
      </w:r>
      <w:r>
        <w:rPr>
          <w:rFonts w:ascii="Times New Roman" w:hAnsi="Times New Roman"/>
          <w:b/>
          <w:bCs/>
          <w:sz w:val="20"/>
          <w:lang w:val="en-US"/>
        </w:rPr>
        <w:t>16</w:t>
      </w:r>
      <w:r>
        <w:rPr>
          <w:rFonts w:ascii="Times New Roman" w:hAnsi="Times New Roman"/>
          <w:sz w:val="20"/>
          <w:lang w:val="en-US"/>
        </w:rPr>
        <w:t>, 3757 (2025).</w:t>
      </w:r>
    </w:p>
    <w:p w14:paraId="607348FF" w14:textId="77777777" w:rsidR="00956E03" w:rsidRDefault="00956E03" w:rsidP="00956E03">
      <w:pPr>
        <w:rPr>
          <w:rFonts w:ascii="Times New Roman" w:hAnsi="Times New Roman" w:cs="Times New Roman"/>
          <w:sz w:val="20"/>
        </w:rPr>
      </w:pPr>
      <w:r w:rsidRPr="00956E03">
        <w:rPr>
          <w:rFonts w:ascii="Times New Roman" w:hAnsi="Times New Roman" w:cs="Times New Roman" w:hint="eastAsia"/>
          <w:sz w:val="20"/>
        </w:rPr>
        <w:t>[</w:t>
      </w:r>
      <w:r w:rsidRPr="00956E03">
        <w:rPr>
          <w:rFonts w:ascii="Times New Roman" w:hAnsi="Times New Roman" w:cs="Times New Roman" w:hint="eastAsia"/>
          <w:sz w:val="20"/>
        </w:rPr>
        <w:t>内部工作备注</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投稿前删除</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图件修改清单（</w:t>
      </w:r>
      <w:r w:rsidRPr="00956E03">
        <w:rPr>
          <w:rFonts w:ascii="Times New Roman" w:hAnsi="Times New Roman" w:cs="Times New Roman" w:hint="eastAsia"/>
          <w:sz w:val="20"/>
        </w:rPr>
        <w:t xml:space="preserve">Word </w:t>
      </w:r>
      <w:r w:rsidRPr="00956E03">
        <w:rPr>
          <w:rFonts w:ascii="Times New Roman" w:hAnsi="Times New Roman" w:cs="Times New Roman" w:hint="eastAsia"/>
          <w:sz w:val="20"/>
        </w:rPr>
        <w:t>中无法修改，需回绘图源文件处理）</w:t>
      </w:r>
    </w:p>
    <w:p w14:paraId="3DB13AE9" w14:textId="77777777" w:rsidR="00956E03" w:rsidRDefault="00956E03" w:rsidP="00956E03">
      <w:pPr>
        <w:rPr>
          <w:rFonts w:ascii="Times New Roman" w:hAnsi="Times New Roman" w:cs="Times New Roman"/>
          <w:sz w:val="20"/>
        </w:rPr>
      </w:pPr>
      <w:r w:rsidRPr="00956E03">
        <w:rPr>
          <w:rFonts w:ascii="Times New Roman" w:hAnsi="Times New Roman" w:cs="Times New Roman" w:hint="eastAsia"/>
          <w:sz w:val="20"/>
        </w:rPr>
        <w:t>1. Figure 2</w:t>
      </w:r>
      <w:r w:rsidRPr="00956E03">
        <w:rPr>
          <w:rFonts w:ascii="Times New Roman" w:hAnsi="Times New Roman" w:cs="Times New Roman" w:hint="eastAsia"/>
          <w:sz w:val="20"/>
        </w:rPr>
        <w:t>：将图内</w:t>
      </w:r>
      <w:r w:rsidRPr="00956E03">
        <w:rPr>
          <w:rFonts w:ascii="Times New Roman" w:hAnsi="Times New Roman" w:cs="Times New Roman" w:hint="eastAsia"/>
          <w:sz w:val="20"/>
        </w:rPr>
        <w:t xml:space="preserve"> "GPU / TPU(Tensor Processing Unit )" </w:t>
      </w:r>
      <w:r w:rsidRPr="00956E03">
        <w:rPr>
          <w:rFonts w:ascii="Times New Roman" w:hAnsi="Times New Roman" w:cs="Times New Roman" w:hint="eastAsia"/>
          <w:sz w:val="20"/>
        </w:rPr>
        <w:t>改为</w:t>
      </w:r>
      <w:r w:rsidRPr="00956E03">
        <w:rPr>
          <w:rFonts w:ascii="Times New Roman" w:hAnsi="Times New Roman" w:cs="Times New Roman" w:hint="eastAsia"/>
          <w:sz w:val="20"/>
        </w:rPr>
        <w:t xml:space="preserve"> "GPU / TPU"</w:t>
      </w:r>
      <w:r w:rsidRPr="00956E03">
        <w:rPr>
          <w:rFonts w:ascii="Times New Roman" w:hAnsi="Times New Roman" w:cs="Times New Roman" w:hint="eastAsia"/>
          <w:sz w:val="20"/>
        </w:rPr>
        <w:t>。原写法括号前缺空格、括号内有尾随空格；全称已移入</w:t>
      </w:r>
      <w:r w:rsidRPr="00956E03">
        <w:rPr>
          <w:rFonts w:ascii="Times New Roman" w:hAnsi="Times New Roman" w:cs="Times New Roman" w:hint="eastAsia"/>
          <w:sz w:val="20"/>
        </w:rPr>
        <w:t xml:space="preserve"> FIG. 2 </w:t>
      </w:r>
      <w:r w:rsidRPr="00956E03">
        <w:rPr>
          <w:rFonts w:ascii="Times New Roman" w:hAnsi="Times New Roman" w:cs="Times New Roman" w:hint="eastAsia"/>
          <w:sz w:val="20"/>
        </w:rPr>
        <w:t>图注的缩写表。</w:t>
      </w:r>
    </w:p>
    <w:p w14:paraId="689D7CB8" w14:textId="77777777" w:rsidR="00956E03" w:rsidRDefault="00956E03" w:rsidP="00956E03">
      <w:pPr>
        <w:rPr>
          <w:rFonts w:ascii="Times New Roman" w:hAnsi="Times New Roman" w:cs="Times New Roman"/>
          <w:sz w:val="20"/>
        </w:rPr>
      </w:pPr>
      <w:r w:rsidRPr="00956E03">
        <w:rPr>
          <w:rFonts w:ascii="Times New Roman" w:hAnsi="Times New Roman" w:cs="Times New Roman" w:hint="eastAsia"/>
          <w:sz w:val="20"/>
        </w:rPr>
        <w:t>2. Figure 3</w:t>
      </w:r>
      <w:r w:rsidRPr="00956E03">
        <w:rPr>
          <w:rFonts w:ascii="Times New Roman" w:hAnsi="Times New Roman" w:cs="Times New Roman" w:hint="eastAsia"/>
          <w:sz w:val="20"/>
        </w:rPr>
        <w:t>：删去</w:t>
      </w:r>
      <w:r w:rsidRPr="00956E03">
        <w:rPr>
          <w:rFonts w:ascii="Times New Roman" w:hAnsi="Times New Roman" w:cs="Times New Roman" w:hint="eastAsia"/>
          <w:sz w:val="20"/>
        </w:rPr>
        <w:t xml:space="preserve"> "Schuld &amp; Killoran 2019" </w:t>
      </w:r>
      <w:r w:rsidRPr="00956E03">
        <w:rPr>
          <w:rFonts w:ascii="Times New Roman" w:hAnsi="Times New Roman" w:cs="Times New Roman" w:hint="eastAsia"/>
          <w:sz w:val="20"/>
        </w:rPr>
        <w:t>之后孤立的间隔号</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w:t>
      </w:r>
      <w:r w:rsidRPr="00956E03">
        <w:rPr>
          <w:rFonts w:ascii="Times New Roman" w:hAnsi="Times New Roman" w:cs="Times New Roman" w:hint="eastAsia"/>
          <w:sz w:val="20"/>
        </w:rPr>
        <w:t>"</w:t>
      </w:r>
      <w:r w:rsidRPr="00956E03">
        <w:rPr>
          <w:rFonts w:ascii="Times New Roman" w:hAnsi="Times New Roman" w:cs="Times New Roman" w:hint="eastAsia"/>
          <w:sz w:val="20"/>
        </w:rPr>
        <w:t>，该符号目前单独折到下一行。</w:t>
      </w:r>
    </w:p>
    <w:p w14:paraId="675752A9" w14:textId="77777777" w:rsidR="00956E03" w:rsidRDefault="00956E03" w:rsidP="00956E03">
      <w:pPr>
        <w:rPr>
          <w:rFonts w:ascii="Times New Roman" w:hAnsi="Times New Roman" w:cs="Times New Roman"/>
          <w:sz w:val="20"/>
        </w:rPr>
      </w:pPr>
      <w:r w:rsidRPr="00956E03">
        <w:rPr>
          <w:rFonts w:ascii="Times New Roman" w:hAnsi="Times New Roman" w:cs="Times New Roman" w:hint="eastAsia"/>
          <w:sz w:val="20"/>
        </w:rPr>
        <w:t>3. Figure 4</w:t>
      </w:r>
      <w:r w:rsidRPr="00956E03">
        <w:rPr>
          <w:rFonts w:ascii="Times New Roman" w:hAnsi="Times New Roman" w:cs="Times New Roman" w:hint="eastAsia"/>
          <w:sz w:val="20"/>
        </w:rPr>
        <w:t>：底部公式行</w:t>
      </w:r>
      <w:r w:rsidRPr="00956E03">
        <w:rPr>
          <w:rFonts w:ascii="Times New Roman" w:hAnsi="Times New Roman" w:cs="Times New Roman" w:hint="eastAsia"/>
          <w:sz w:val="20"/>
        </w:rPr>
        <w:t xml:space="preserve"> "L = L_data + </w:t>
      </w:r>
      <w:r w:rsidRPr="00956E03">
        <w:rPr>
          <w:rFonts w:ascii="Times New Roman" w:hAnsi="Times New Roman" w:cs="Times New Roman" w:hint="eastAsia"/>
          <w:sz w:val="20"/>
        </w:rPr>
        <w:t>Σ</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λ</w:t>
      </w:r>
      <w:r w:rsidRPr="00956E03">
        <w:rPr>
          <w:rFonts w:ascii="Times New Roman" w:hAnsi="Times New Roman" w:cs="Times New Roman" w:hint="eastAsia"/>
          <w:sz w:val="20"/>
        </w:rPr>
        <w:t xml:space="preserve">i L_phys" </w:t>
      </w:r>
      <w:r w:rsidRPr="00956E03">
        <w:rPr>
          <w:rFonts w:ascii="Times New Roman" w:hAnsi="Times New Roman" w:cs="Times New Roman" w:hint="eastAsia"/>
          <w:sz w:val="20"/>
        </w:rPr>
        <w:t>使用字面下划线，与同一张图方框内</w:t>
      </w:r>
      <w:r w:rsidRPr="00956E03">
        <w:rPr>
          <w:rFonts w:ascii="Times New Roman" w:hAnsi="Times New Roman" w:cs="Times New Roman" w:hint="eastAsia"/>
          <w:sz w:val="20"/>
        </w:rPr>
        <w:t xml:space="preserve"> L_data</w:t>
      </w:r>
      <w:r w:rsidRPr="00956E03">
        <w:rPr>
          <w:rFonts w:ascii="Times New Roman" w:hAnsi="Times New Roman" w:cs="Times New Roman" w:hint="eastAsia"/>
          <w:sz w:val="20"/>
        </w:rPr>
        <w:t>、</w:t>
      </w:r>
      <w:r w:rsidRPr="00956E03">
        <w:rPr>
          <w:rFonts w:ascii="Times New Roman" w:hAnsi="Times New Roman" w:cs="Times New Roman" w:hint="eastAsia"/>
          <w:sz w:val="20"/>
        </w:rPr>
        <w:t>L_PDE</w:t>
      </w:r>
      <w:r w:rsidRPr="00956E03">
        <w:rPr>
          <w:rFonts w:ascii="Times New Roman" w:hAnsi="Times New Roman" w:cs="Times New Roman" w:hint="eastAsia"/>
          <w:sz w:val="20"/>
        </w:rPr>
        <w:t>、</w:t>
      </w:r>
      <w:r w:rsidRPr="00956E03">
        <w:rPr>
          <w:rFonts w:ascii="Times New Roman" w:hAnsi="Times New Roman" w:cs="Times New Roman" w:hint="eastAsia"/>
          <w:sz w:val="20"/>
        </w:rPr>
        <w:t xml:space="preserve">L_BC </w:t>
      </w:r>
      <w:r w:rsidRPr="00956E03">
        <w:rPr>
          <w:rFonts w:ascii="Times New Roman" w:hAnsi="Times New Roman" w:cs="Times New Roman" w:hint="eastAsia"/>
          <w:sz w:val="20"/>
        </w:rPr>
        <w:t>的真下标写法不一致。改为真下标，λ</w:t>
      </w:r>
      <w:r w:rsidRPr="00956E03">
        <w:rPr>
          <w:rFonts w:ascii="Times New Roman" w:hAnsi="Times New Roman" w:cs="Times New Roman" w:hint="eastAsia"/>
          <w:sz w:val="20"/>
        </w:rPr>
        <w:t xml:space="preserve"> </w:t>
      </w:r>
      <w:r w:rsidRPr="00956E03">
        <w:rPr>
          <w:rFonts w:ascii="Times New Roman" w:hAnsi="Times New Roman" w:cs="Times New Roman" w:hint="eastAsia"/>
          <w:sz w:val="20"/>
        </w:rPr>
        <w:t>后的</w:t>
      </w:r>
      <w:r w:rsidRPr="00956E03">
        <w:rPr>
          <w:rFonts w:ascii="Times New Roman" w:hAnsi="Times New Roman" w:cs="Times New Roman" w:hint="eastAsia"/>
          <w:sz w:val="20"/>
        </w:rPr>
        <w:t xml:space="preserve"> i </w:t>
      </w:r>
      <w:r w:rsidRPr="00956E03">
        <w:rPr>
          <w:rFonts w:ascii="Times New Roman" w:hAnsi="Times New Roman" w:cs="Times New Roman" w:hint="eastAsia"/>
          <w:sz w:val="20"/>
        </w:rPr>
        <w:t>同改为下标。</w:t>
      </w:r>
    </w:p>
    <w:p w14:paraId="478560D2" w14:textId="77777777" w:rsidR="00956E03" w:rsidRDefault="00956E03" w:rsidP="00956E03">
      <w:pPr>
        <w:rPr>
          <w:rFonts w:ascii="Times New Roman" w:hAnsi="Times New Roman" w:cs="Times New Roman"/>
          <w:sz w:val="20"/>
        </w:rPr>
      </w:pPr>
      <w:r w:rsidRPr="00956E03">
        <w:rPr>
          <w:rFonts w:ascii="Times New Roman" w:hAnsi="Times New Roman" w:cs="Times New Roman" w:hint="eastAsia"/>
          <w:sz w:val="20"/>
        </w:rPr>
        <w:t>4. Figure 6</w:t>
      </w:r>
      <w:r w:rsidRPr="00956E03">
        <w:rPr>
          <w:rFonts w:ascii="Times New Roman" w:hAnsi="Times New Roman" w:cs="Times New Roman" w:hint="eastAsia"/>
          <w:sz w:val="20"/>
        </w:rPr>
        <w:t>：四角留白偏大（对应审阅批注），建议收紧画布或增补子图。另图内五句与图注措辞有小幅出入：图内为</w:t>
      </w:r>
      <w:r w:rsidRPr="00956E03">
        <w:rPr>
          <w:rFonts w:ascii="Times New Roman" w:hAnsi="Times New Roman" w:cs="Times New Roman" w:hint="eastAsia"/>
          <w:sz w:val="20"/>
        </w:rPr>
        <w:t xml:space="preserve"> "not because they are fast"</w:t>
      </w:r>
      <w:r w:rsidRPr="00956E03">
        <w:rPr>
          <w:rFonts w:ascii="Times New Roman" w:hAnsi="Times New Roman" w:cs="Times New Roman" w:hint="eastAsia"/>
          <w:sz w:val="20"/>
        </w:rPr>
        <w:t>、</w:t>
      </w:r>
      <w:r w:rsidRPr="00956E03">
        <w:rPr>
          <w:rFonts w:ascii="Times New Roman" w:hAnsi="Times New Roman" w:cs="Times New Roman" w:hint="eastAsia"/>
          <w:sz w:val="20"/>
        </w:rPr>
        <w:t>"rather than suppressed"</w:t>
      </w:r>
      <w:r w:rsidRPr="00956E03">
        <w:rPr>
          <w:rFonts w:ascii="Times New Roman" w:hAnsi="Times New Roman" w:cs="Times New Roman" w:hint="eastAsia"/>
          <w:sz w:val="20"/>
        </w:rPr>
        <w:t>，图注为</w:t>
      </w:r>
      <w:r w:rsidRPr="00956E03">
        <w:rPr>
          <w:rFonts w:ascii="Times New Roman" w:hAnsi="Times New Roman" w:cs="Times New Roman" w:hint="eastAsia"/>
          <w:sz w:val="20"/>
        </w:rPr>
        <w:t xml:space="preserve"> "not for speed"</w:t>
      </w:r>
      <w:r w:rsidRPr="00956E03">
        <w:rPr>
          <w:rFonts w:ascii="Times New Roman" w:hAnsi="Times New Roman" w:cs="Times New Roman" w:hint="eastAsia"/>
          <w:sz w:val="20"/>
        </w:rPr>
        <w:t>、</w:t>
      </w:r>
      <w:r w:rsidRPr="00956E03">
        <w:rPr>
          <w:rFonts w:ascii="Times New Roman" w:hAnsi="Times New Roman" w:cs="Times New Roman" w:hint="eastAsia"/>
          <w:sz w:val="20"/>
        </w:rPr>
        <w:t>"instead of suppressed"</w:t>
      </w:r>
      <w:r w:rsidRPr="00956E03">
        <w:rPr>
          <w:rFonts w:ascii="Times New Roman" w:hAnsi="Times New Roman" w:cs="Times New Roman" w:hint="eastAsia"/>
          <w:sz w:val="20"/>
        </w:rPr>
        <w:t>；如需一致，改图内文字较省事。</w:t>
      </w:r>
    </w:p>
    <w:p w14:paraId="357326BC" w14:textId="6E36CDE3" w:rsidR="00F256B4" w:rsidRPr="00956E03" w:rsidRDefault="00956E03" w:rsidP="00956E03">
      <w:pPr>
        <w:rPr>
          <w:rFonts w:ascii="Times New Roman" w:hAnsi="Times New Roman" w:cs="Times New Roman" w:hint="eastAsia"/>
          <w:sz w:val="20"/>
        </w:rPr>
      </w:pPr>
      <w:r w:rsidRPr="00956E03">
        <w:rPr>
          <w:rFonts w:ascii="Times New Roman" w:hAnsi="Times New Roman" w:cs="Times New Roman" w:hint="eastAsia"/>
          <w:sz w:val="20"/>
        </w:rPr>
        <w:t xml:space="preserve">5. </w:t>
      </w:r>
      <w:r w:rsidRPr="00956E03">
        <w:rPr>
          <w:rFonts w:ascii="Times New Roman" w:hAnsi="Times New Roman" w:cs="Times New Roman" w:hint="eastAsia"/>
          <w:sz w:val="20"/>
        </w:rPr>
        <w:t>编辑信另要求：</w:t>
      </w:r>
      <w:r w:rsidRPr="00956E03">
        <w:rPr>
          <w:rFonts w:ascii="Times New Roman" w:hAnsi="Times New Roman" w:cs="Times New Roman" w:hint="eastAsia"/>
          <w:sz w:val="20"/>
        </w:rPr>
        <w:t>Figures 1</w:t>
      </w:r>
      <w:r w:rsidRPr="00956E03">
        <w:rPr>
          <w:rFonts w:ascii="Times New Roman" w:hAnsi="Times New Roman" w:cs="Times New Roman" w:hint="eastAsia"/>
          <w:sz w:val="20"/>
        </w:rPr>
        <w:t>–</w:t>
      </w:r>
      <w:r w:rsidRPr="00956E03">
        <w:rPr>
          <w:rFonts w:ascii="Times New Roman" w:hAnsi="Times New Roman" w:cs="Times New Roman" w:hint="eastAsia"/>
          <w:sz w:val="20"/>
        </w:rPr>
        <w:t xml:space="preserve">6 </w:t>
      </w:r>
      <w:r w:rsidRPr="00956E03">
        <w:rPr>
          <w:rFonts w:ascii="Times New Roman" w:hAnsi="Times New Roman" w:cs="Times New Roman" w:hint="eastAsia"/>
          <w:sz w:val="20"/>
        </w:rPr>
        <w:t>各提供一份独立图件文件，</w:t>
      </w:r>
      <w:r w:rsidRPr="00956E03">
        <w:rPr>
          <w:rFonts w:ascii="Times New Roman" w:hAnsi="Times New Roman" w:cs="Times New Roman" w:hint="eastAsia"/>
          <w:sz w:val="20"/>
        </w:rPr>
        <w:t>Tables I</w:t>
      </w:r>
      <w:r w:rsidRPr="00956E03">
        <w:rPr>
          <w:rFonts w:ascii="Times New Roman" w:hAnsi="Times New Roman" w:cs="Times New Roman" w:hint="eastAsia"/>
          <w:sz w:val="20"/>
        </w:rPr>
        <w:t>–</w:t>
      </w:r>
      <w:r w:rsidRPr="00956E03">
        <w:rPr>
          <w:rFonts w:ascii="Times New Roman" w:hAnsi="Times New Roman" w:cs="Times New Roman" w:hint="eastAsia"/>
          <w:sz w:val="20"/>
        </w:rPr>
        <w:t xml:space="preserve">III </w:t>
      </w:r>
      <w:r w:rsidRPr="00956E03">
        <w:rPr>
          <w:rFonts w:ascii="Times New Roman" w:hAnsi="Times New Roman" w:cs="Times New Roman" w:hint="eastAsia"/>
          <w:sz w:val="20"/>
        </w:rPr>
        <w:t>各附描述性说明。</w:t>
      </w:r>
    </w:p>
    <w:sectPr w:rsidR="00F256B4" w:rsidRPr="00956E03">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B0F1D5" w14:textId="77777777" w:rsidR="00387DD1" w:rsidRDefault="00387DD1" w:rsidP="007B320B">
      <w:r>
        <w:separator/>
      </w:r>
    </w:p>
  </w:endnote>
  <w:endnote w:type="continuationSeparator" w:id="0">
    <w:p w14:paraId="5D6990F9" w14:textId="77777777" w:rsidR="00387DD1" w:rsidRDefault="00387DD1" w:rsidP="007B3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3651F" w14:textId="77777777" w:rsidR="007B320B" w:rsidRDefault="007B320B">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61FC4" w14:textId="77777777" w:rsidR="007B320B" w:rsidRDefault="007B320B">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801C0D" w14:textId="77777777" w:rsidR="007B320B" w:rsidRDefault="007B320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5FA014" w14:textId="77777777" w:rsidR="00387DD1" w:rsidRDefault="00387DD1" w:rsidP="007B320B">
      <w:r>
        <w:separator/>
      </w:r>
    </w:p>
  </w:footnote>
  <w:footnote w:type="continuationSeparator" w:id="0">
    <w:p w14:paraId="3CF64F44" w14:textId="77777777" w:rsidR="00387DD1" w:rsidRDefault="00387DD1" w:rsidP="007B3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BC597" w14:textId="77777777" w:rsidR="007B320B" w:rsidRDefault="007B320B">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56E813" w14:textId="77777777" w:rsidR="007B320B" w:rsidRDefault="007B320B">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96434C" w14:textId="77777777" w:rsidR="007B320B" w:rsidRDefault="007B320B">
    <w:pPr>
      <w:pStyle w:val="af4"/>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ongyi">
    <w15:presenceInfo w15:providerId="None" w15:userId="Hongyi"/>
  </w15:person>
  <w15:person w15:author="hongyi">
    <w15:presenceInfo w15:providerId="None" w15:userId="hongyi"/>
  </w15:person>
  <w15:person w15:author="Haoliang Qian">
    <w15:presenceInfo w15:providerId="None" w15:userId="Haoliang Qian"/>
  </w15:person>
  <w15:person w15:author="HB173206@365mmt.com">
    <w15:presenceInfo w15:providerId="AD" w15:userId="S::HB173206@365mmt.com::babe41e9-4853-4906-944c-87ef1c4d3d9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SystemFonts/>
  <w:bordersDoNotSurroundHeader/>
  <w:bordersDoNotSurroundFooter/>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NC&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fd5af50ev0527ex9dnxpvensf9wepx9v5av&quot;&gt;Untitled&lt;record-ids&gt;&lt;item&gt;1&lt;/item&gt;&lt;item&gt;2&lt;/item&gt;&lt;item&gt;3&lt;/item&gt;&lt;item&gt;4&lt;/item&gt;&lt;item&gt;5&lt;/item&gt;&lt;item&gt;7&lt;/item&gt;&lt;item&gt;8&lt;/item&gt;&lt;item&gt;9&lt;/item&gt;&lt;item&gt;11&lt;/item&gt;&lt;item&gt;12&lt;/item&gt;&lt;item&gt;13&lt;/item&gt;&lt;item&gt;14&lt;/item&gt;&lt;item&gt;17&lt;/item&gt;&lt;item&gt;18&lt;/item&gt;&lt;item&gt;20&lt;/item&gt;&lt;item&gt;22&lt;/item&gt;&lt;item&gt;24&lt;/item&gt;&lt;item&gt;25&lt;/item&gt;&lt;item&gt;27&lt;/item&gt;&lt;item&gt;28&lt;/item&gt;&lt;item&gt;30&lt;/item&gt;&lt;item&gt;31&lt;/item&gt;&lt;item&gt;32&lt;/item&gt;&lt;item&gt;33&lt;/item&gt;&lt;item&gt;34&lt;/item&gt;&lt;item&gt;35&lt;/item&gt;&lt;item&gt;36&lt;/item&gt;&lt;item&gt;37&lt;/item&gt;&lt;item&gt;40&lt;/item&gt;&lt;item&gt;41&lt;/item&gt;&lt;item&gt;42&lt;/item&gt;&lt;item&gt;46&lt;/item&gt;&lt;item&gt;47&lt;/item&gt;&lt;item&gt;48&lt;/item&gt;&lt;item&gt;51&lt;/item&gt;&lt;item&gt;53&lt;/item&gt;&lt;item&gt;54&lt;/item&gt;&lt;item&gt;55&lt;/item&gt;&lt;item&gt;56&lt;/item&gt;&lt;item&gt;57&lt;/item&gt;&lt;item&gt;58&lt;/item&gt;&lt;item&gt;62&lt;/item&gt;&lt;item&gt;63&lt;/item&gt;&lt;item&gt;64&lt;/item&gt;&lt;item&gt;65&lt;/item&gt;&lt;item&gt;66&lt;/item&gt;&lt;item&gt;70&lt;/item&gt;&lt;item&gt;72&lt;/item&gt;&lt;item&gt;74&lt;/item&gt;&lt;item&gt;76&lt;/item&gt;&lt;item&gt;77&lt;/item&gt;&lt;item&gt;78&lt;/item&gt;&lt;item&gt;80&lt;/item&gt;&lt;item&gt;81&lt;/item&gt;&lt;item&gt;83&lt;/item&gt;&lt;item&gt;84&lt;/item&gt;&lt;item&gt;85&lt;/item&gt;&lt;item&gt;87&lt;/item&gt;&lt;item&gt;89&lt;/item&gt;&lt;item&gt;90&lt;/item&gt;&lt;item&gt;91&lt;/item&gt;&lt;item&gt;92&lt;/item&gt;&lt;item&gt;94&lt;/item&gt;&lt;item&gt;95&lt;/item&gt;&lt;item&gt;96&lt;/item&gt;&lt;item&gt;97&lt;/item&gt;&lt;item&gt;98&lt;/item&gt;&lt;item&gt;99&lt;/item&gt;&lt;/record-ids&gt;&lt;/item&gt;&lt;/Libraries&gt;"/>
  </w:docVars>
  <w:rsids>
    <w:rsidRoot w:val="00172A27"/>
    <w:rsid w:val="000063E1"/>
    <w:rsid w:val="0001281F"/>
    <w:rsid w:val="000129C7"/>
    <w:rsid w:val="00021C2E"/>
    <w:rsid w:val="000272CD"/>
    <w:rsid w:val="000458A5"/>
    <w:rsid w:val="00056470"/>
    <w:rsid w:val="000602B8"/>
    <w:rsid w:val="0006722E"/>
    <w:rsid w:val="000676A5"/>
    <w:rsid w:val="000763BD"/>
    <w:rsid w:val="00081C25"/>
    <w:rsid w:val="00093260"/>
    <w:rsid w:val="000F705B"/>
    <w:rsid w:val="000F7B97"/>
    <w:rsid w:val="00111D48"/>
    <w:rsid w:val="00115806"/>
    <w:rsid w:val="00144C7A"/>
    <w:rsid w:val="00172A27"/>
    <w:rsid w:val="00174ED8"/>
    <w:rsid w:val="00196F22"/>
    <w:rsid w:val="001A6C62"/>
    <w:rsid w:val="001D02FC"/>
    <w:rsid w:val="001D14B3"/>
    <w:rsid w:val="0021790F"/>
    <w:rsid w:val="00250C1E"/>
    <w:rsid w:val="00263834"/>
    <w:rsid w:val="002674D3"/>
    <w:rsid w:val="002868C5"/>
    <w:rsid w:val="002927B7"/>
    <w:rsid w:val="002930D3"/>
    <w:rsid w:val="002942B8"/>
    <w:rsid w:val="00296F51"/>
    <w:rsid w:val="002C3EF1"/>
    <w:rsid w:val="002C7CE7"/>
    <w:rsid w:val="00302710"/>
    <w:rsid w:val="003379B3"/>
    <w:rsid w:val="0034266C"/>
    <w:rsid w:val="0038371F"/>
    <w:rsid w:val="00387DD1"/>
    <w:rsid w:val="003A03B1"/>
    <w:rsid w:val="003B6706"/>
    <w:rsid w:val="003C57EF"/>
    <w:rsid w:val="003F4CD3"/>
    <w:rsid w:val="004107B3"/>
    <w:rsid w:val="004706FF"/>
    <w:rsid w:val="004768D7"/>
    <w:rsid w:val="004B21A4"/>
    <w:rsid w:val="004C763E"/>
    <w:rsid w:val="004D0031"/>
    <w:rsid w:val="004D30A4"/>
    <w:rsid w:val="004E4EA8"/>
    <w:rsid w:val="004F47BD"/>
    <w:rsid w:val="004F76E0"/>
    <w:rsid w:val="00543C65"/>
    <w:rsid w:val="0056489E"/>
    <w:rsid w:val="00570749"/>
    <w:rsid w:val="005745B4"/>
    <w:rsid w:val="00581EB3"/>
    <w:rsid w:val="00583B2F"/>
    <w:rsid w:val="005854FA"/>
    <w:rsid w:val="005904A7"/>
    <w:rsid w:val="005D0829"/>
    <w:rsid w:val="005D4DC2"/>
    <w:rsid w:val="005D73D6"/>
    <w:rsid w:val="005E4AE5"/>
    <w:rsid w:val="005E62F5"/>
    <w:rsid w:val="005E7BD6"/>
    <w:rsid w:val="005F2F39"/>
    <w:rsid w:val="005F773C"/>
    <w:rsid w:val="006070B9"/>
    <w:rsid w:val="00643266"/>
    <w:rsid w:val="00653547"/>
    <w:rsid w:val="00662B59"/>
    <w:rsid w:val="00664C2D"/>
    <w:rsid w:val="0068471D"/>
    <w:rsid w:val="006A2636"/>
    <w:rsid w:val="006C1E29"/>
    <w:rsid w:val="006D2AD4"/>
    <w:rsid w:val="006D409E"/>
    <w:rsid w:val="006E28F2"/>
    <w:rsid w:val="00723896"/>
    <w:rsid w:val="0073535D"/>
    <w:rsid w:val="007404DD"/>
    <w:rsid w:val="00741CC2"/>
    <w:rsid w:val="0075689E"/>
    <w:rsid w:val="0077529E"/>
    <w:rsid w:val="0078313C"/>
    <w:rsid w:val="007A191D"/>
    <w:rsid w:val="007B320B"/>
    <w:rsid w:val="007B631B"/>
    <w:rsid w:val="007E5CFC"/>
    <w:rsid w:val="007E6E61"/>
    <w:rsid w:val="007F556E"/>
    <w:rsid w:val="0083594D"/>
    <w:rsid w:val="00840DF1"/>
    <w:rsid w:val="0086571B"/>
    <w:rsid w:val="00866B36"/>
    <w:rsid w:val="008A34FA"/>
    <w:rsid w:val="008A43DB"/>
    <w:rsid w:val="008A74C3"/>
    <w:rsid w:val="008B4807"/>
    <w:rsid w:val="008C4D5F"/>
    <w:rsid w:val="008C7AE1"/>
    <w:rsid w:val="009040E5"/>
    <w:rsid w:val="009259BB"/>
    <w:rsid w:val="00947DB2"/>
    <w:rsid w:val="0095092C"/>
    <w:rsid w:val="009530F6"/>
    <w:rsid w:val="00956E03"/>
    <w:rsid w:val="009574A5"/>
    <w:rsid w:val="00964CD0"/>
    <w:rsid w:val="00973746"/>
    <w:rsid w:val="00974039"/>
    <w:rsid w:val="0099537A"/>
    <w:rsid w:val="009A3636"/>
    <w:rsid w:val="009F1AE3"/>
    <w:rsid w:val="00A522CD"/>
    <w:rsid w:val="00A56809"/>
    <w:rsid w:val="00A70AD1"/>
    <w:rsid w:val="00A86202"/>
    <w:rsid w:val="00A904FD"/>
    <w:rsid w:val="00A93A00"/>
    <w:rsid w:val="00AC1E99"/>
    <w:rsid w:val="00AE27DB"/>
    <w:rsid w:val="00AE5FE8"/>
    <w:rsid w:val="00AF64EF"/>
    <w:rsid w:val="00AF7542"/>
    <w:rsid w:val="00B0121D"/>
    <w:rsid w:val="00B10C01"/>
    <w:rsid w:val="00B151FD"/>
    <w:rsid w:val="00B50FB9"/>
    <w:rsid w:val="00B54D2E"/>
    <w:rsid w:val="00B6484B"/>
    <w:rsid w:val="00B80987"/>
    <w:rsid w:val="00B838EA"/>
    <w:rsid w:val="00B83A80"/>
    <w:rsid w:val="00B85EB6"/>
    <w:rsid w:val="00BA6422"/>
    <w:rsid w:val="00BD728B"/>
    <w:rsid w:val="00C14ACF"/>
    <w:rsid w:val="00C30240"/>
    <w:rsid w:val="00C404E0"/>
    <w:rsid w:val="00C44B9F"/>
    <w:rsid w:val="00C63754"/>
    <w:rsid w:val="00C64EE9"/>
    <w:rsid w:val="00C708BB"/>
    <w:rsid w:val="00C751A8"/>
    <w:rsid w:val="00C923E0"/>
    <w:rsid w:val="00CA33A1"/>
    <w:rsid w:val="00CA7D26"/>
    <w:rsid w:val="00CB2512"/>
    <w:rsid w:val="00CB280D"/>
    <w:rsid w:val="00D02789"/>
    <w:rsid w:val="00D044A9"/>
    <w:rsid w:val="00D061F8"/>
    <w:rsid w:val="00D073AB"/>
    <w:rsid w:val="00D2789F"/>
    <w:rsid w:val="00D37072"/>
    <w:rsid w:val="00D40789"/>
    <w:rsid w:val="00D47FA4"/>
    <w:rsid w:val="00D545FF"/>
    <w:rsid w:val="00D86D96"/>
    <w:rsid w:val="00DE1C21"/>
    <w:rsid w:val="00DF2F40"/>
    <w:rsid w:val="00E05CC2"/>
    <w:rsid w:val="00E31498"/>
    <w:rsid w:val="00E37027"/>
    <w:rsid w:val="00E42A42"/>
    <w:rsid w:val="00E60AC0"/>
    <w:rsid w:val="00EA16CE"/>
    <w:rsid w:val="00ED204F"/>
    <w:rsid w:val="00EF520B"/>
    <w:rsid w:val="00EF619F"/>
    <w:rsid w:val="00F21424"/>
    <w:rsid w:val="00F22725"/>
    <w:rsid w:val="00F23531"/>
    <w:rsid w:val="00F256B4"/>
    <w:rsid w:val="00F30B3C"/>
    <w:rsid w:val="00F3327B"/>
    <w:rsid w:val="00F34A4E"/>
    <w:rsid w:val="00F43A00"/>
    <w:rsid w:val="00F61DCB"/>
    <w:rsid w:val="00F72F48"/>
    <w:rsid w:val="00F82B84"/>
    <w:rsid w:val="00F90BFE"/>
    <w:rsid w:val="00F92DB9"/>
    <w:rsid w:val="00FB3D4D"/>
    <w:rsid w:val="00FB7EE9"/>
    <w:rsid w:val="00FC5010"/>
    <w:rsid w:val="00FE65F1"/>
    <w:rsid w:val="00FF48C1"/>
    <w:rsid w:val="04BA02C4"/>
    <w:rsid w:val="05140846"/>
    <w:rsid w:val="05644397"/>
    <w:rsid w:val="05DF44E5"/>
    <w:rsid w:val="07F517B7"/>
    <w:rsid w:val="08702323"/>
    <w:rsid w:val="08A96F6C"/>
    <w:rsid w:val="08BC7047"/>
    <w:rsid w:val="08D25042"/>
    <w:rsid w:val="0B4020CB"/>
    <w:rsid w:val="0B4E3D6D"/>
    <w:rsid w:val="0BA45A2F"/>
    <w:rsid w:val="0C2C5BBA"/>
    <w:rsid w:val="0C5F7D78"/>
    <w:rsid w:val="0CB21936"/>
    <w:rsid w:val="0DD41258"/>
    <w:rsid w:val="0E7E2095"/>
    <w:rsid w:val="0F1E00FB"/>
    <w:rsid w:val="0F2A6CEC"/>
    <w:rsid w:val="10274F9A"/>
    <w:rsid w:val="11442AA4"/>
    <w:rsid w:val="117E0327"/>
    <w:rsid w:val="11C72BBA"/>
    <w:rsid w:val="138D7D05"/>
    <w:rsid w:val="13AE582E"/>
    <w:rsid w:val="13F01AF0"/>
    <w:rsid w:val="13F47BA9"/>
    <w:rsid w:val="14DE53F9"/>
    <w:rsid w:val="154C3BE6"/>
    <w:rsid w:val="15B346F0"/>
    <w:rsid w:val="15DB548C"/>
    <w:rsid w:val="187324C0"/>
    <w:rsid w:val="1A4C28DD"/>
    <w:rsid w:val="1B332772"/>
    <w:rsid w:val="1EE51C4E"/>
    <w:rsid w:val="1F7850BB"/>
    <w:rsid w:val="21BC6F68"/>
    <w:rsid w:val="21DD2AA0"/>
    <w:rsid w:val="236C4FBF"/>
    <w:rsid w:val="24402EDE"/>
    <w:rsid w:val="24B970CD"/>
    <w:rsid w:val="252C3829"/>
    <w:rsid w:val="252F6B5B"/>
    <w:rsid w:val="254B0832"/>
    <w:rsid w:val="268A3562"/>
    <w:rsid w:val="28BF06DD"/>
    <w:rsid w:val="28C006DB"/>
    <w:rsid w:val="2C386419"/>
    <w:rsid w:val="2C3B2FAB"/>
    <w:rsid w:val="2CC57990"/>
    <w:rsid w:val="2D2966F4"/>
    <w:rsid w:val="2EAE5EA6"/>
    <w:rsid w:val="30E940B9"/>
    <w:rsid w:val="30ED7159"/>
    <w:rsid w:val="31661FF7"/>
    <w:rsid w:val="32195D2C"/>
    <w:rsid w:val="32C94F76"/>
    <w:rsid w:val="3404729C"/>
    <w:rsid w:val="3444532F"/>
    <w:rsid w:val="34D10B40"/>
    <w:rsid w:val="34E552AD"/>
    <w:rsid w:val="363760B8"/>
    <w:rsid w:val="3A520D14"/>
    <w:rsid w:val="3B612EFA"/>
    <w:rsid w:val="3C3B131B"/>
    <w:rsid w:val="3C43037B"/>
    <w:rsid w:val="3D607E96"/>
    <w:rsid w:val="3FF54DC6"/>
    <w:rsid w:val="413B4EB8"/>
    <w:rsid w:val="43041DB7"/>
    <w:rsid w:val="44184EFA"/>
    <w:rsid w:val="442354AA"/>
    <w:rsid w:val="44266885"/>
    <w:rsid w:val="45182E8B"/>
    <w:rsid w:val="452F1464"/>
    <w:rsid w:val="45431D84"/>
    <w:rsid w:val="46A71988"/>
    <w:rsid w:val="46B826DC"/>
    <w:rsid w:val="4732452C"/>
    <w:rsid w:val="498222D8"/>
    <w:rsid w:val="4A134509"/>
    <w:rsid w:val="4B5F5058"/>
    <w:rsid w:val="4B893A30"/>
    <w:rsid w:val="4D5C424B"/>
    <w:rsid w:val="4F4A5E33"/>
    <w:rsid w:val="4F87200B"/>
    <w:rsid w:val="4F995AAC"/>
    <w:rsid w:val="50575AAD"/>
    <w:rsid w:val="50ED360C"/>
    <w:rsid w:val="511175D3"/>
    <w:rsid w:val="538D7B6E"/>
    <w:rsid w:val="55332DDC"/>
    <w:rsid w:val="57371122"/>
    <w:rsid w:val="57407733"/>
    <w:rsid w:val="57CB596F"/>
    <w:rsid w:val="58F959E5"/>
    <w:rsid w:val="596103A7"/>
    <w:rsid w:val="59AE774A"/>
    <w:rsid w:val="59C630C8"/>
    <w:rsid w:val="5ACC2968"/>
    <w:rsid w:val="5AED6AF6"/>
    <w:rsid w:val="5B6B7027"/>
    <w:rsid w:val="5BE16FC7"/>
    <w:rsid w:val="5CD57587"/>
    <w:rsid w:val="5D6A2609"/>
    <w:rsid w:val="5D757FE5"/>
    <w:rsid w:val="5E64715F"/>
    <w:rsid w:val="5E697E89"/>
    <w:rsid w:val="5EA902B4"/>
    <w:rsid w:val="5EB40393"/>
    <w:rsid w:val="5F68520E"/>
    <w:rsid w:val="60786CB6"/>
    <w:rsid w:val="608D2471"/>
    <w:rsid w:val="609D31D6"/>
    <w:rsid w:val="60BA2331"/>
    <w:rsid w:val="61C969A2"/>
    <w:rsid w:val="62C85BE8"/>
    <w:rsid w:val="65181079"/>
    <w:rsid w:val="6611613F"/>
    <w:rsid w:val="676416BA"/>
    <w:rsid w:val="67BB2027"/>
    <w:rsid w:val="681436B9"/>
    <w:rsid w:val="6831647E"/>
    <w:rsid w:val="68A57ABF"/>
    <w:rsid w:val="68DC6BA4"/>
    <w:rsid w:val="68F85E2B"/>
    <w:rsid w:val="697A077E"/>
    <w:rsid w:val="6AB37DC4"/>
    <w:rsid w:val="6B3210D8"/>
    <w:rsid w:val="6B811E7A"/>
    <w:rsid w:val="6BB07532"/>
    <w:rsid w:val="6CA32D8B"/>
    <w:rsid w:val="6D486EEA"/>
    <w:rsid w:val="6E9F7AAF"/>
    <w:rsid w:val="6F83288A"/>
    <w:rsid w:val="6FCF1D09"/>
    <w:rsid w:val="701270F5"/>
    <w:rsid w:val="71416246"/>
    <w:rsid w:val="71713907"/>
    <w:rsid w:val="724D637A"/>
    <w:rsid w:val="72D52F50"/>
    <w:rsid w:val="73097C43"/>
    <w:rsid w:val="735A4B61"/>
    <w:rsid w:val="75671246"/>
    <w:rsid w:val="75970298"/>
    <w:rsid w:val="76760731"/>
    <w:rsid w:val="777C2348"/>
    <w:rsid w:val="7AB1578A"/>
    <w:rsid w:val="7BA80B00"/>
    <w:rsid w:val="7D354A94"/>
    <w:rsid w:val="7DC25E4F"/>
    <w:rsid w:val="7EFE6BAD"/>
    <w:rsid w:val="DDD5E91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19CAF"/>
  <w15:docId w15:val="{1D5636AE-B979-1D4C-9449-FBF35EE7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Arial" w:hAnsi="Arial" w:cs="Arial"/>
      <w:sz w:val="22"/>
      <w:szCs w:val="22"/>
      <w:lang w:val="zh-CN"/>
    </w:rPr>
  </w:style>
  <w:style w:type="paragraph" w:styleId="1">
    <w:name w:val="heading 1"/>
    <w:basedOn w:val="a"/>
    <w:next w:val="a"/>
    <w:uiPriority w:val="9"/>
    <w:qFormat/>
    <w:pPr>
      <w:spacing w:before="240" w:after="240"/>
      <w:outlineLvl w:val="0"/>
    </w:pPr>
    <w:rPr>
      <w:b/>
      <w:sz w:val="48"/>
      <w:szCs w:val="48"/>
    </w:rPr>
  </w:style>
  <w:style w:type="paragraph" w:styleId="2">
    <w:name w:val="heading 2"/>
    <w:basedOn w:val="a"/>
    <w:next w:val="a"/>
    <w:uiPriority w:val="9"/>
    <w:unhideWhenUsed/>
    <w:qFormat/>
    <w:pPr>
      <w:spacing w:before="225" w:after="225"/>
      <w:outlineLvl w:val="1"/>
    </w:pPr>
    <w:rPr>
      <w:b/>
      <w:sz w:val="36"/>
      <w:szCs w:val="36"/>
    </w:rPr>
  </w:style>
  <w:style w:type="paragraph" w:styleId="3">
    <w:name w:val="heading 3"/>
    <w:basedOn w:val="a"/>
    <w:next w:val="a"/>
    <w:uiPriority w:val="9"/>
    <w:unhideWhenUsed/>
    <w:qFormat/>
    <w:pPr>
      <w:spacing w:before="240" w:after="240"/>
      <w:outlineLvl w:val="2"/>
    </w:pPr>
    <w:rPr>
      <w:b/>
      <w:sz w:val="28"/>
      <w:szCs w:val="28"/>
    </w:rPr>
  </w:style>
  <w:style w:type="paragraph" w:styleId="4">
    <w:name w:val="heading 4"/>
    <w:basedOn w:val="a"/>
    <w:next w:val="a"/>
    <w:uiPriority w:val="9"/>
    <w:unhideWhenUsed/>
    <w:qFormat/>
    <w:pPr>
      <w:spacing w:before="255" w:after="255"/>
      <w:outlineLvl w:val="3"/>
    </w:pPr>
    <w:rPr>
      <w:b/>
      <w:sz w:val="24"/>
      <w:szCs w:val="24"/>
    </w:rPr>
  </w:style>
  <w:style w:type="paragraph" w:styleId="5">
    <w:name w:val="heading 5"/>
    <w:basedOn w:val="a"/>
    <w:next w:val="a"/>
    <w:uiPriority w:val="9"/>
    <w:semiHidden/>
    <w:unhideWhenUsed/>
    <w:qFormat/>
    <w:pPr>
      <w:spacing w:before="255" w:after="255"/>
      <w:outlineLvl w:val="4"/>
    </w:pPr>
    <w:rPr>
      <w:b/>
      <w:sz w:val="18"/>
      <w:szCs w:val="18"/>
    </w:rPr>
  </w:style>
  <w:style w:type="paragraph" w:styleId="6">
    <w:name w:val="heading 6"/>
    <w:basedOn w:val="a"/>
    <w:next w:val="a"/>
    <w:uiPriority w:val="9"/>
    <w:semiHidden/>
    <w:unhideWhenUsed/>
    <w:qFormat/>
    <w:pPr>
      <w:spacing w:before="360" w:after="360"/>
      <w:outlineLvl w:val="5"/>
    </w:pPr>
    <w:rPr>
      <w:b/>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link w:val="a6"/>
    <w:uiPriority w:val="99"/>
    <w:semiHidden/>
    <w:unhideWhenUsed/>
    <w:qFormat/>
    <w:pPr>
      <w:spacing w:after="120"/>
    </w:pPr>
  </w:style>
  <w:style w:type="paragraph" w:styleId="a7">
    <w:name w:val="Balloon Text"/>
    <w:basedOn w:val="a"/>
    <w:link w:val="a8"/>
    <w:uiPriority w:val="99"/>
    <w:semiHidden/>
    <w:unhideWhenUsed/>
    <w:qFormat/>
    <w:rPr>
      <w:sz w:val="18"/>
      <w:szCs w:val="18"/>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a">
    <w:name w:val="Normal (Web)"/>
    <w:basedOn w:val="a"/>
    <w:uiPriority w:val="99"/>
    <w:semiHidden/>
    <w:unhideWhenUsed/>
    <w:qFormat/>
    <w:pPr>
      <w:spacing w:beforeAutospacing="1" w:afterAutospacing="1"/>
    </w:pPr>
    <w:rPr>
      <w:rFonts w:cs="Times New Roman"/>
      <w:sz w:val="24"/>
      <w:lang w:val="en-US"/>
    </w:rPr>
  </w:style>
  <w:style w:type="paragraph" w:styleId="ab">
    <w:name w:val="Title"/>
    <w:basedOn w:val="a"/>
    <w:next w:val="a"/>
    <w:uiPriority w:val="10"/>
    <w:qFormat/>
    <w:pPr>
      <w:keepNext/>
      <w:keepLines/>
      <w:spacing w:before="480" w:after="120"/>
    </w:pPr>
    <w:rPr>
      <w:b/>
      <w:sz w:val="72"/>
      <w:szCs w:val="72"/>
    </w:rPr>
  </w:style>
  <w:style w:type="paragraph" w:styleId="ac">
    <w:name w:val="annotation subject"/>
    <w:basedOn w:val="a3"/>
    <w:next w:val="a3"/>
    <w:link w:val="ad"/>
    <w:uiPriority w:val="99"/>
    <w:semiHidden/>
    <w:unhideWhenUsed/>
    <w:qFormat/>
    <w:rPr>
      <w:b/>
      <w:bCs/>
      <w:sz w:val="20"/>
      <w:szCs w:val="20"/>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Emphasis"/>
    <w:basedOn w:val="a0"/>
    <w:uiPriority w:val="20"/>
    <w:qFormat/>
    <w:rPr>
      <w:i/>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16"/>
      <w:szCs w:val="16"/>
    </w:rPr>
  </w:style>
  <w:style w:type="table" w:customStyle="1" w:styleId="Style11">
    <w:name w:val="_Style 11"/>
    <w:basedOn w:val="a1"/>
    <w:qFormat/>
    <w:tblPr>
      <w:tblCellMar>
        <w:top w:w="100" w:type="dxa"/>
        <w:left w:w="100" w:type="dxa"/>
        <w:bottom w:w="100" w:type="dxa"/>
        <w:right w:w="100" w:type="dxa"/>
      </w:tblCellMar>
    </w:tblPr>
  </w:style>
  <w:style w:type="character" w:customStyle="1" w:styleId="a8">
    <w:name w:val="批注框文本 字符"/>
    <w:basedOn w:val="a0"/>
    <w:link w:val="a7"/>
    <w:uiPriority w:val="99"/>
    <w:semiHidden/>
    <w:qFormat/>
    <w:rPr>
      <w:sz w:val="18"/>
      <w:szCs w:val="18"/>
      <w:lang w:val="zh-CN"/>
    </w:rPr>
  </w:style>
  <w:style w:type="paragraph" w:customStyle="1" w:styleId="EndNoteBibliographyTitle">
    <w:name w:val="EndNote Bibliography Title"/>
    <w:basedOn w:val="a"/>
    <w:link w:val="EndNoteBibliographyTitle0"/>
    <w:qFormat/>
    <w:pPr>
      <w:jc w:val="center"/>
    </w:pPr>
  </w:style>
  <w:style w:type="character" w:customStyle="1" w:styleId="EndNoteBibliographyTitle0">
    <w:name w:val="EndNote Bibliography Title 字符"/>
    <w:basedOn w:val="a0"/>
    <w:link w:val="EndNoteBibliographyTitle"/>
    <w:qFormat/>
    <w:rPr>
      <w:rFonts w:ascii="Arial" w:hAnsi="Arial" w:cs="Arial"/>
      <w:sz w:val="22"/>
      <w:szCs w:val="22"/>
      <w:lang w:val="zh-CN"/>
    </w:rPr>
  </w:style>
  <w:style w:type="paragraph" w:customStyle="1" w:styleId="EndNoteBibliography">
    <w:name w:val="EndNote Bibliography"/>
    <w:basedOn w:val="a"/>
    <w:link w:val="EndNoteBibliography0"/>
    <w:qFormat/>
    <w:pPr>
      <w:jc w:val="both"/>
    </w:pPr>
  </w:style>
  <w:style w:type="character" w:customStyle="1" w:styleId="EndNoteBibliography0">
    <w:name w:val="EndNote Bibliography 字符"/>
    <w:basedOn w:val="a0"/>
    <w:link w:val="EndNoteBibliography"/>
    <w:qFormat/>
    <w:rPr>
      <w:rFonts w:ascii="Arial" w:hAnsi="Arial" w:cs="Arial"/>
      <w:sz w:val="22"/>
      <w:szCs w:val="22"/>
      <w:lang w:val="zh-CN"/>
    </w:rPr>
  </w:style>
  <w:style w:type="paragraph" w:customStyle="1" w:styleId="10">
    <w:name w:val="修订1"/>
    <w:hidden/>
    <w:uiPriority w:val="99"/>
    <w:semiHidden/>
    <w:qFormat/>
    <w:rPr>
      <w:rFonts w:ascii="Arial" w:hAnsi="Arial" w:cs="Arial"/>
      <w:sz w:val="22"/>
      <w:szCs w:val="22"/>
      <w:lang w:val="zh-CN"/>
    </w:rPr>
  </w:style>
  <w:style w:type="character" w:customStyle="1" w:styleId="11">
    <w:name w:val="未处理的提及1"/>
    <w:basedOn w:val="a0"/>
    <w:uiPriority w:val="99"/>
    <w:semiHidden/>
    <w:unhideWhenUsed/>
    <w:qFormat/>
    <w:rPr>
      <w:color w:val="605E5C"/>
      <w:shd w:val="clear" w:color="auto" w:fill="E1DFDD"/>
    </w:rPr>
  </w:style>
  <w:style w:type="character" w:customStyle="1" w:styleId="UnresolvedMention1">
    <w:name w:val="Unresolved Mention1"/>
    <w:basedOn w:val="a0"/>
    <w:uiPriority w:val="99"/>
    <w:semiHidden/>
    <w:unhideWhenUsed/>
    <w:qFormat/>
    <w:rPr>
      <w:color w:val="605E5C"/>
      <w:shd w:val="clear" w:color="auto" w:fill="E1DFDD"/>
    </w:rPr>
  </w:style>
  <w:style w:type="paragraph" w:customStyle="1" w:styleId="Revision1">
    <w:name w:val="Revision1"/>
    <w:hidden/>
    <w:uiPriority w:val="99"/>
    <w:unhideWhenUsed/>
    <w:qFormat/>
    <w:rPr>
      <w:rFonts w:ascii="Arial" w:hAnsi="Arial" w:cs="Arial"/>
      <w:sz w:val="22"/>
      <w:szCs w:val="22"/>
      <w:lang w:val="zh-CN"/>
    </w:rPr>
  </w:style>
  <w:style w:type="character" w:customStyle="1" w:styleId="font21">
    <w:name w:val="font21"/>
    <w:basedOn w:val="a0"/>
    <w:qFormat/>
    <w:rPr>
      <w:rFonts w:ascii="Helvetica" w:eastAsia="Helvetica" w:hAnsi="Helvetica" w:cs="Helvetica" w:hint="default"/>
      <w:color w:val="333333"/>
      <w:sz w:val="24"/>
      <w:szCs w:val="24"/>
      <w:u w:val="none"/>
    </w:rPr>
  </w:style>
  <w:style w:type="paragraph" w:customStyle="1" w:styleId="Revision2">
    <w:name w:val="Revision2"/>
    <w:hidden/>
    <w:uiPriority w:val="99"/>
    <w:unhideWhenUsed/>
    <w:qFormat/>
    <w:rPr>
      <w:rFonts w:ascii="Arial" w:hAnsi="Arial" w:cs="Arial"/>
      <w:sz w:val="22"/>
      <w:szCs w:val="22"/>
      <w:lang w:val="zh-CN"/>
    </w:rPr>
  </w:style>
  <w:style w:type="paragraph" w:customStyle="1" w:styleId="SourceCode">
    <w:name w:val="Source Code"/>
    <w:basedOn w:val="a"/>
    <w:qFormat/>
    <w:pPr>
      <w:wordWrap w:val="0"/>
    </w:p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FirstParagraph">
    <w:name w:val="First Paragraph"/>
    <w:basedOn w:val="a5"/>
    <w:next w:val="a5"/>
    <w:qFormat/>
    <w:pPr>
      <w:widowControl/>
      <w:spacing w:before="180" w:after="180"/>
    </w:pPr>
    <w:rPr>
      <w:rFonts w:asciiTheme="minorHAnsi" w:eastAsiaTheme="minorEastAsia" w:hAnsiTheme="minorHAnsi" w:cstheme="minorBidi"/>
      <w:sz w:val="24"/>
      <w:szCs w:val="24"/>
      <w:lang w:val="en-US"/>
    </w:rPr>
  </w:style>
  <w:style w:type="character" w:customStyle="1" w:styleId="a6">
    <w:name w:val="正文文本 字符"/>
    <w:basedOn w:val="a0"/>
    <w:link w:val="a5"/>
    <w:uiPriority w:val="99"/>
    <w:semiHidden/>
    <w:qFormat/>
    <w:rPr>
      <w:rFonts w:ascii="Arial" w:hAnsi="Arial" w:cs="Arial"/>
      <w:sz w:val="22"/>
      <w:szCs w:val="22"/>
      <w:lang w:val="zh-CN"/>
    </w:rPr>
  </w:style>
  <w:style w:type="paragraph" w:customStyle="1" w:styleId="Revision3">
    <w:name w:val="Revision3"/>
    <w:hidden/>
    <w:uiPriority w:val="99"/>
    <w:unhideWhenUsed/>
    <w:qFormat/>
    <w:rPr>
      <w:rFonts w:ascii="Arial" w:hAnsi="Arial" w:cs="Arial"/>
      <w:sz w:val="22"/>
      <w:szCs w:val="22"/>
      <w:lang w:val="zh-CN"/>
    </w:rPr>
  </w:style>
  <w:style w:type="character" w:customStyle="1" w:styleId="a4">
    <w:name w:val="批注文字 字符"/>
    <w:basedOn w:val="a0"/>
    <w:link w:val="a3"/>
    <w:uiPriority w:val="99"/>
    <w:semiHidden/>
    <w:qFormat/>
    <w:rPr>
      <w:rFonts w:ascii="Arial" w:hAnsi="Arial" w:cs="Arial"/>
      <w:sz w:val="22"/>
      <w:szCs w:val="22"/>
      <w:lang w:val="zh-CN"/>
    </w:rPr>
  </w:style>
  <w:style w:type="character" w:customStyle="1" w:styleId="ad">
    <w:name w:val="批注主题 字符"/>
    <w:basedOn w:val="a4"/>
    <w:link w:val="ac"/>
    <w:uiPriority w:val="99"/>
    <w:semiHidden/>
    <w:qFormat/>
    <w:rPr>
      <w:rFonts w:ascii="Arial" w:hAnsi="Arial" w:cs="Arial"/>
      <w:b/>
      <w:bCs/>
      <w:sz w:val="22"/>
      <w:szCs w:val="22"/>
      <w:lang w:val="zh-CN"/>
    </w:rPr>
  </w:style>
  <w:style w:type="paragraph" w:customStyle="1" w:styleId="Revision4">
    <w:name w:val="Revision4"/>
    <w:hidden/>
    <w:uiPriority w:val="99"/>
    <w:unhideWhenUsed/>
    <w:qFormat/>
    <w:rPr>
      <w:rFonts w:ascii="Arial" w:hAnsi="Arial" w:cs="Arial"/>
      <w:sz w:val="22"/>
      <w:szCs w:val="22"/>
      <w:lang w:val="zh-CN"/>
    </w:rPr>
  </w:style>
  <w:style w:type="paragraph" w:customStyle="1" w:styleId="20">
    <w:name w:val="修订2"/>
    <w:hidden/>
    <w:uiPriority w:val="99"/>
    <w:unhideWhenUsed/>
    <w:rPr>
      <w:rFonts w:ascii="Arial" w:hAnsi="Arial" w:cs="Arial"/>
      <w:sz w:val="22"/>
      <w:szCs w:val="22"/>
      <w:lang w:val="zh-CN"/>
    </w:rPr>
  </w:style>
  <w:style w:type="paragraph" w:styleId="af3">
    <w:name w:val="Revision"/>
    <w:hidden/>
    <w:uiPriority w:val="99"/>
    <w:unhideWhenUsed/>
    <w:rsid w:val="00E42A42"/>
    <w:rPr>
      <w:rFonts w:ascii="Arial" w:hAnsi="Arial" w:cs="Arial"/>
      <w:sz w:val="22"/>
      <w:szCs w:val="22"/>
      <w:lang w:val="zh-CN"/>
    </w:rPr>
  </w:style>
  <w:style w:type="paragraph" w:styleId="af4">
    <w:name w:val="header"/>
    <w:basedOn w:val="a"/>
    <w:link w:val="af5"/>
    <w:uiPriority w:val="99"/>
    <w:unhideWhenUsed/>
    <w:rsid w:val="007B320B"/>
    <w:pPr>
      <w:tabs>
        <w:tab w:val="center" w:pos="4153"/>
        <w:tab w:val="right" w:pos="8306"/>
      </w:tabs>
      <w:snapToGrid w:val="0"/>
      <w:jc w:val="center"/>
    </w:pPr>
    <w:rPr>
      <w:sz w:val="18"/>
      <w:szCs w:val="18"/>
    </w:rPr>
  </w:style>
  <w:style w:type="character" w:customStyle="1" w:styleId="af5">
    <w:name w:val="页眉 字符"/>
    <w:basedOn w:val="a0"/>
    <w:link w:val="af4"/>
    <w:uiPriority w:val="99"/>
    <w:rsid w:val="007B320B"/>
    <w:rPr>
      <w:rFonts w:ascii="Arial" w:hAnsi="Arial" w:cs="Arial"/>
      <w:sz w:val="18"/>
      <w:szCs w:val="18"/>
      <w:lang w:val="zh-CN"/>
    </w:rPr>
  </w:style>
  <w:style w:type="paragraph" w:styleId="af6">
    <w:name w:val="footer"/>
    <w:basedOn w:val="a"/>
    <w:link w:val="af7"/>
    <w:uiPriority w:val="99"/>
    <w:unhideWhenUsed/>
    <w:rsid w:val="007B320B"/>
    <w:pPr>
      <w:tabs>
        <w:tab w:val="center" w:pos="4153"/>
        <w:tab w:val="right" w:pos="8306"/>
      </w:tabs>
      <w:snapToGrid w:val="0"/>
    </w:pPr>
    <w:rPr>
      <w:sz w:val="18"/>
      <w:szCs w:val="18"/>
    </w:rPr>
  </w:style>
  <w:style w:type="character" w:customStyle="1" w:styleId="af7">
    <w:name w:val="页脚 字符"/>
    <w:basedOn w:val="a0"/>
    <w:link w:val="af6"/>
    <w:uiPriority w:val="99"/>
    <w:rsid w:val="007B320B"/>
    <w:rPr>
      <w:rFonts w:ascii="Arial" w:hAnsi="Arial" w:cs="Arial"/>
      <w:sz w:val="18"/>
      <w:szCs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theme" Target="theme/theme1.xml"/><Relationship Id="rId19" Type="http://schemas.openxmlformats.org/officeDocument/2006/relationships/image" Target="media/image9.png"/><Relationship Id="rId4"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7B95D29-7DF1-4A44-B757-95E5F38655EB}">
  <we:reference id="d51ccb01-85e7-42ab-885b-de05c07799f3" version="1.0.0.1" store="developer" storeType="Registry"/>
  <we:alternateReferences/>
  <we:properties>
    <we:property name="Office.AutoShowTaskpaneWithDocument" value="true"/>
    <we:property name="claude.fileId" value="&quot;96b7426f-76b3-45a6-8ff1-86f84237e26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6CA935C-A059-40B3-82A3-E7326AB3BAFF}">
  <we:reference id="WA200010453" version="1.0.0.1" store="Omex" storeType="OMEX"/>
  <we:alternateReferences>
    <we:reference id="WA200010453" version="1.0.0.1" store="WA200010453" storeType="OMEX"/>
  </we:alternateReferences>
  <we:properties>
    <we:property name="claude.fileId" value="&quot;6554837f-6063-4f9c-a503-4d20d4dbdd9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DE33C-B487-4C8A-83DF-B61638AEA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10427</Words>
  <Characters>62881</Characters>
  <Application>Microsoft Office Word</Application>
  <DocSecurity>0</DocSecurity>
  <Lines>1030</Lines>
  <Paragraphs>327</Paragraphs>
  <ScaleCrop>false</ScaleCrop>
  <Company/>
  <LinksUpToDate>false</LinksUpToDate>
  <CharactersWithSpaces>72981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杨宏毅</dc:creator>
  <cp:lastModifiedBy>hongyi</cp:lastModifiedBy>
  <cp:revision>4</cp:revision>
  <cp:lastPrinted>2026-05-21T11:15:00Z</cp:lastPrinted>
  <dcterms:created xsi:type="dcterms:W3CDTF">2026-09-14T06:27:00Z</dcterms:created>
  <dcterms:modified xsi:type="dcterms:W3CDTF">2026-09-14T20:28:00Z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eyJoZGlkIjoiYmY0ZTkzZDY1NjU1MTkyMDljOTQ2NzI1OGZlOThhNDgiLCJ1c2VySWQiOiIxNjM3MTM5OTMwIn0=</vt:lpwstr>
  </property>
  <property fmtid="{D5CDD505-2E9C-101B-9397-08002B2CF9AE}" pid="3" name="KSOProductBuildVer">
    <vt:lpwstr>2052-12.1.23540.23540</vt:lpwstr>
  </property>
  <property fmtid="{D5CDD505-2E9C-101B-9397-08002B2CF9AE}" pid="4" name="ICV">
    <vt:lpwstr>F04D5CF3F8B140D0BE23EA53E3C3B575_13</vt:lpwstr>
  </property>
</Properties>
</file>