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E0B6D" w14:textId="77777777" w:rsidR="00CC571D" w:rsidRDefault="00CC571D" w:rsidP="00CC571D">
      <w:pPr>
        <w:spacing w:before="120" w:after="120"/>
        <w:jc w:val="both"/>
        <w:rPr>
          <w:rFonts w:ascii="Times New Roman" w:eastAsia="Times New Roman" w:hAnsi="Times New Roman" w:cs="Times New Roman"/>
          <w:lang w:eastAsia="en-GB"/>
        </w:rPr>
      </w:pPr>
      <w:r w:rsidRPr="18E51BD5">
        <w:rPr>
          <w:rFonts w:ascii="Times New Roman" w:eastAsia="Times New Roman" w:hAnsi="Times New Roman" w:cs="Times New Roman"/>
          <w:lang w:eastAsia="en-GB"/>
        </w:rPr>
        <w:fldChar w:fldCharType="begin"/>
      </w:r>
      <w:r w:rsidRPr="18E51BD5">
        <w:rPr>
          <w:rFonts w:ascii="Times New Roman" w:eastAsia="Times New Roman" w:hAnsi="Times New Roman" w:cs="Times New Roman"/>
          <w:lang w:eastAsia="en-GB"/>
        </w:rPr>
        <w:instrText xml:space="preserve"> INCLUDEPICTURE "/var/folders/q_/nj24wvjx0ts3gtc1fqmtrhl4x_p48l/T/com.microsoft.Word/WebArchiveCopyPasteTempFiles/ALFqLrmfxGSgAAAAAElFTkSuQmCC" \* MERGEFORMATINET </w:instrText>
      </w:r>
      <w:r w:rsidRPr="18E51BD5">
        <w:rPr>
          <w:rFonts w:ascii="Times New Roman" w:eastAsia="Times New Roman" w:hAnsi="Times New Roman" w:cs="Times New Roman"/>
          <w:lang w:eastAsia="en-GB"/>
        </w:rPr>
        <w:fldChar w:fldCharType="separate"/>
      </w:r>
      <w:r>
        <w:rPr>
          <w:noProof/>
        </w:rPr>
        <w:drawing>
          <wp:inline distT="0" distB="0" distL="0" distR="0" wp14:anchorId="4A464CC1" wp14:editId="05FB627B">
            <wp:extent cx="5731510" cy="4443095"/>
            <wp:effectExtent l="0" t="0" r="0" b="1905"/>
            <wp:docPr id="111957087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
                      <a:extLst>
                        <a:ext uri="{28A0092B-C50C-407E-A947-70E740481C1C}">
                          <a14:useLocalDpi xmlns:a14="http://schemas.microsoft.com/office/drawing/2010/main" val="0"/>
                        </a:ext>
                      </a:extLst>
                    </a:blip>
                    <a:stretch>
                      <a:fillRect/>
                    </a:stretch>
                  </pic:blipFill>
                  <pic:spPr>
                    <a:xfrm>
                      <a:off x="0" y="0"/>
                      <a:ext cx="5731510" cy="4443095"/>
                    </a:xfrm>
                    <a:prstGeom prst="rect">
                      <a:avLst/>
                    </a:prstGeom>
                  </pic:spPr>
                </pic:pic>
              </a:graphicData>
            </a:graphic>
          </wp:inline>
        </w:drawing>
      </w:r>
      <w:r w:rsidRPr="18E51BD5">
        <w:rPr>
          <w:rFonts w:ascii="Times New Roman" w:eastAsia="Times New Roman" w:hAnsi="Times New Roman" w:cs="Times New Roman"/>
          <w:lang w:eastAsia="en-GB"/>
        </w:rPr>
        <w:fldChar w:fldCharType="end"/>
      </w:r>
      <w:r w:rsidRPr="18E51BD5">
        <w:rPr>
          <w:rFonts w:ascii="Times New Roman" w:hAnsi="Times New Roman" w:cs="Times New Roman"/>
          <w:b/>
          <w:bCs/>
        </w:rPr>
        <w:t xml:space="preserve">Supplementary Figure 1.  </w:t>
      </w:r>
      <w:r w:rsidRPr="00F20BA1">
        <w:rPr>
          <w:rFonts w:ascii="Times New Roman" w:hAnsi="Times New Roman" w:cs="Times New Roman"/>
        </w:rPr>
        <w:t>I</w:t>
      </w:r>
      <w:r w:rsidRPr="18E51BD5">
        <w:rPr>
          <w:rFonts w:ascii="Times New Roman" w:hAnsi="Times New Roman" w:cs="Times New Roman"/>
        </w:rPr>
        <w:t xml:space="preserve">nter/intra-class </w:t>
      </w:r>
      <w:r w:rsidRPr="18E51BD5">
        <w:rPr>
          <w:rFonts w:ascii="Times New Roman" w:eastAsia="Times New Roman" w:hAnsi="Times New Roman" w:cs="Times New Roman"/>
          <w:lang w:eastAsia="en-GB"/>
        </w:rPr>
        <w:t>Jensen-Shannon Divergence (JSD). All-vs-all JSD were calculated using 9-mers and averages calculated at a class level.  Pair of identical pairs have a JSD of 0 for the pair (blue), while sequences that do not share any k-</w:t>
      </w:r>
      <w:proofErr w:type="spellStart"/>
      <w:r w:rsidRPr="18E51BD5">
        <w:rPr>
          <w:rFonts w:ascii="Times New Roman" w:eastAsia="Times New Roman" w:hAnsi="Times New Roman" w:cs="Times New Roman"/>
          <w:lang w:eastAsia="en-GB"/>
        </w:rPr>
        <w:t>mers</w:t>
      </w:r>
      <w:proofErr w:type="spellEnd"/>
      <w:r w:rsidRPr="18E51BD5">
        <w:rPr>
          <w:rFonts w:ascii="Times New Roman" w:eastAsia="Times New Roman" w:hAnsi="Times New Roman" w:cs="Times New Roman"/>
          <w:lang w:eastAsia="en-GB"/>
        </w:rPr>
        <w:t xml:space="preserve"> have a JSD value of 1 (red). Intra-class JSD were overall lower compared to the inter-class JSD as expected.</w:t>
      </w:r>
    </w:p>
    <w:p w14:paraId="30A90D2B" w14:textId="77777777" w:rsidR="00CC571D" w:rsidRDefault="00CC571D" w:rsidP="00CC571D">
      <w:pPr>
        <w:spacing w:before="120" w:after="120"/>
        <w:jc w:val="both"/>
        <w:rPr>
          <w:rFonts w:ascii="Times New Roman" w:eastAsia="Times New Roman" w:hAnsi="Times New Roman" w:cs="Times New Roman"/>
          <w:lang w:eastAsia="en-GB"/>
        </w:rPr>
      </w:pPr>
    </w:p>
    <w:p w14:paraId="732CC04C" w14:textId="77777777" w:rsidR="00CC571D" w:rsidRDefault="00CC571D" w:rsidP="00CC571D">
      <w:pPr>
        <w:spacing w:before="120" w:after="120" w:line="480" w:lineRule="auto"/>
        <w:jc w:val="both"/>
        <w:textAlignment w:val="baseline"/>
        <w:rPr>
          <w:rFonts w:ascii="Times New Roman" w:eastAsia="Times New Roman" w:hAnsi="Times New Roman" w:cs="Times New Roman"/>
          <w:lang w:eastAsia="en-GB"/>
        </w:rPr>
      </w:pPr>
      <w:r>
        <w:rPr>
          <w:noProof/>
        </w:rPr>
        <w:lastRenderedPageBreak/>
        <w:drawing>
          <wp:inline distT="0" distB="0" distL="0" distR="0" wp14:anchorId="17FDBE69" wp14:editId="7C7E7EAF">
            <wp:extent cx="4157932" cy="7463530"/>
            <wp:effectExtent l="0" t="0" r="0" b="4445"/>
            <wp:docPr id="868329267" name="Picture 2" descr="A picture containing cup, light, table,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7932" cy="7463530"/>
                    </a:xfrm>
                    <a:prstGeom prst="rect">
                      <a:avLst/>
                    </a:prstGeom>
                  </pic:spPr>
                </pic:pic>
              </a:graphicData>
            </a:graphic>
          </wp:inline>
        </w:drawing>
      </w:r>
    </w:p>
    <w:p w14:paraId="310ABA65" w14:textId="414661E6" w:rsidR="00D90F35" w:rsidRDefault="00CC571D" w:rsidP="00CC571D">
      <w:pPr>
        <w:spacing w:before="120" w:after="120"/>
        <w:jc w:val="both"/>
        <w:rPr>
          <w:rFonts w:ascii="Times New Roman" w:hAnsi="Times New Roman" w:cs="Times New Roman"/>
        </w:rPr>
      </w:pPr>
      <w:r>
        <w:rPr>
          <w:rFonts w:ascii="Times New Roman" w:hAnsi="Times New Roman" w:cs="Times New Roman"/>
          <w:b/>
          <w:bCs/>
        </w:rPr>
        <w:t xml:space="preserve">Supplementary </w:t>
      </w:r>
      <w:r w:rsidRPr="007E63B9">
        <w:rPr>
          <w:rFonts w:ascii="Times New Roman" w:hAnsi="Times New Roman" w:cs="Times New Roman"/>
          <w:b/>
          <w:bCs/>
        </w:rPr>
        <w:t xml:space="preserve">Figure </w:t>
      </w:r>
      <w:r>
        <w:rPr>
          <w:rFonts w:ascii="Times New Roman" w:hAnsi="Times New Roman" w:cs="Times New Roman"/>
          <w:b/>
          <w:bCs/>
        </w:rPr>
        <w:t>2</w:t>
      </w:r>
      <w:r w:rsidRPr="007E63B9">
        <w:rPr>
          <w:rFonts w:ascii="Times New Roman" w:hAnsi="Times New Roman" w:cs="Times New Roman"/>
          <w:b/>
          <w:bCs/>
        </w:rPr>
        <w:t xml:space="preserve">. </w:t>
      </w:r>
      <w:r>
        <w:rPr>
          <w:rFonts w:ascii="Times New Roman" w:hAnsi="Times New Roman" w:cs="Times New Roman"/>
        </w:rPr>
        <w:t>PACIFIC, BWA-MEM and Kraken2 predictions on all s</w:t>
      </w:r>
      <w:r w:rsidRPr="007E63B9">
        <w:rPr>
          <w:rFonts w:ascii="Times New Roman" w:hAnsi="Times New Roman" w:cs="Times New Roman"/>
        </w:rPr>
        <w:t xml:space="preserve">amples from </w:t>
      </w:r>
      <w:r>
        <w:rPr>
          <w:rFonts w:ascii="Times New Roman" w:hAnsi="Times New Roman" w:cs="Times New Roman"/>
        </w:rPr>
        <w:t xml:space="preserve">all datasets used in this study </w:t>
      </w:r>
      <w:r w:rsidRPr="007E63B9">
        <w:rPr>
          <w:rFonts w:ascii="Times New Roman" w:hAnsi="Times New Roman" w:cs="Times New Roman"/>
        </w:rPr>
        <w:fldChar w:fldCharType="begin" w:fldLock="1"/>
      </w:r>
      <w:r>
        <w:rPr>
          <w:rFonts w:ascii="Times New Roman" w:hAnsi="Times New Roman" w:cs="Times New Roman"/>
        </w:rPr>
        <w:instrText>ADDIN CSL_CITATION {"citationItems":[{"id":"ITEM-1","itemData":{"DOI":"10.1186/s13059-016-1140-8","ISSN":"1474760X","PMID":"28103897","abstract":"BACKGROUND: Respiratory illness caused by viral infection is associated with the development and exacerbation of childhood asthma. Little is known about the effects of respiratory viral infections in the absence of illness. Using quantitative PCR (qPCR) for common respiratory viruses and for two genes known to be highly upregulated in viral infections (CCL8/CXCL11), we screened 92 asthmatic and 69 healthy children without illness for respiratory virus infections.\nRESULTS: We found 21 viral qPCR-positive and 2 suspected virus-infected subjects with high expression of CCL8/CXCL11. We applied a dual RNA-seq workflow to these subjects, together with 25 viral qPCR-negative subjects, to compare qPCR with sequencing-based virus detection and to generate the airway transcriptome for analysis. RNA-seq virus detection achieved 86% sensitivity when compared to qPCR-based screening. We detected additional respiratory viruses in the two CCL8/CXCL11-high subjects and in two of the qPCR-negative subjects. Viral read counts varied widely and were used to stratify subjects into Virus-High and Virus-Low groups. Examination of the host airway transcriptome found that the Virus-High group was characterized by immune cell airway infiltration, downregulation of cilia genes, and dampening of type 2 inflammation. Even the Virus-Low group was differentiated from the No-Virus group by 100 genes, some involved in eIF2 signaling.\nCONCLUSIONS: Respiratory virus infection without illness is not innocuous but may determine the airway function of these subjects by driving immune cell airway infiltration, cellular remodeling, and alteration of asthmogenic gene expression.","author":[{"dropping-particle":"","family":"Wesolowska-Andersen","given":"Agata","non-dropping-particle":"","parse-names":false,"suffix":""},{"dropping-particle":"","family":"Everman","given":"Jamie L.","non-dropping-particle":"","parse-names":false,"suffix":""},{"dropping-particle":"","family":"Davidson","given":"Rebecca","non-dropping-particle":"","parse-names":false,"suffix":""},{"dropping-particle":"","family":"Rios","given":"Cydney","non-dropping-particle":"","parse-names":false,"suffix":""},{"dropping-particle":"","family":"Herrin","given":"Rachelle","non-dropping-particle":"","parse-names":false,"suffix":""},{"dropping-particle":"","family":"Eng","given":"Celeste","non-dropping-particle":"","parse-names":false,"suffix":""},{"dropping-particle":"","family":"Janssen","given":"William J.","non-dropping-particle":"","parse-names":false,"suffix":""},{"dropping-particle":"","family":"Liu","given":"Andrew H.","non-dropping-particle":"","parse-names":false,"suffix":""},{"dropping-particle":"","family":"Oh","given":"Sam S.","non-dropping-particle":"","parse-names":false,"suffix":""},{"dropping-particle":"","family":"Kumar","given":"Rajesh","non-dropping-particle":"","parse-names":false,"suffix":""},{"dropping-particle":"","family":"Fingerlin","given":"Tasha E.","non-dropping-particle":"","parse-names":false,"suffix":""},{"dropping-particle":"","family":"Rodriguez-Santana","given":"Jose","non-dropping-particle":"","parse-names":false,"suffix":""},{"dropping-particle":"","family":"Burchard","given":"Esteban G.","non-dropping-particle":"","parse-names":false,"suffix":""},{"dropping-particle":"","family":"Seibold","given":"Max A.","non-dropping-particle":"","parse-names":false,"suffix":""}],"container-title":"Genome biology","id":"ITEM-1","issue":"1","issued":{"date-parts":[["2017","1","19"]]},"page":"12","publisher":"BioMed Central","title":"Dual RNA-seq reveals viral infections in asthmatic children without respiratory illness which are associated with changes in the airway transcriptome","type":"article-journal","volume":"18"},"uris":["http://www.mendeley.com/documents/?uuid=ec3d6883-fc00-3643-89e2-9949d2738a16"]},{"id":"ITEM-2","itemData":{"DOI":"10.1016/j.cell.2020.04.026","ISSN":"10974172","PMID":"32416070","abstract":"In comparison to other respiratory viruses, SARS-CoV-2 infection drives a lower antiviral transcriptional response that is marked by low IFN-I and IFN-III levels and elevated chemokine expression, which could explain the pro-inflammatory disease state associated with COVID-19.","author":[{"dropping-particle":"","family":"Blanco-Melo","given":"Daniel","non-dropping-particle":"","parse-names":false,"suffix":""},{"dropping-particle":"","family":"Nilsson-Payant","given":"Benjamin E.","non-dropping-particle":"","parse-names":false,"suffix":""},{"dropping-particle":"","family":"Liu","given":"Wen Chun","non-dropping-particle":"","parse-names":false,"suffix":""},{"dropping-particle":"","family":"Uhl","given":"Skyler","non-dropping-particle":"","parse-names":false,"suffix":""},{"dropping-particle":"","family":"Hoagland","given":"Daisy","non-dropping-particle":"","parse-names":false,"suffix":""},{"dropping-particle":"","family":"Møller","given":"Rasmus","non-dropping-particle":"","parse-names":false,"suffix":""},{"dropping-particle":"","family":"Jordan","given":"Tristan X.","non-dropping-particle":"","parse-names":false,"suffix":""},{"dropping-particle":"","family":"Oishi","given":"Kohei","non-dropping-particle":"","parse-names":false,"suffix":""},{"dropping-particle":"","family":"Panis","given":"Maryline","non-dropping-particle":"","parse-names":false,"suffix":""},{"dropping-particle":"","family":"Sachs","given":"David","non-dropping-particle":"","parse-names":false,"suffix":""},{"dropping-particle":"","family":"Wang","given":"Taia T.","non-dropping-particle":"","parse-names":false,"suffix":""},{"dropping-particle":"","family":"Schwartz","given":"Robert E.","non-dropping-particle":"","parse-names":false,"suffix":""},{"dropping-particle":"","family":"Lim","given":"Jean K.","non-dropping-particle":"","parse-names":false,"suffix":""},{"dropping-particle":"","family":"Albrecht","given":"Randy A.","non-dropping-particle":"","parse-names":false,"suffix":""},{"dropping-particle":"","family":"tenOever","given":"Benjamin R.","non-dropping-particle":"","parse-names":false,"suffix":""}],"container-title":"Cell","id":"ITEM-2","issue":"5","issued":{"date-parts":[["2020","5","28"]]},"page":"1036-1045.e9","publisher":"Cell Press","title":"Imbalanced Host Response to SARS-CoV-2 Drives Development of COVID-19","type":"article-journal","volume":"181"},"uris":["http://www.mendeley.com/documents/?uuid=a5639d02-38ba-36fe-8991-8969f2c4ab72"]},{"id":"ITEM-3","itemData":{"DOI":"10.1038/s41586-020-2008-3","ISSN":"14764687","PMID":"32015508","abstract":"Emerging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author":[{"dropping-particle":"","family":"Wu","given":"Fan","non-dropping-particle":"","parse-names":false,"suffix":""},{"dropping-particle":"","family":"Zhao","given":"Su","non-dropping-particle":"","parse-names":false,"suffix":""},{"dropping-particle":"","family":"Yu","given":"Bin","non-dropping-particle":"","parse-names":false,"suffix":""},{"dropping-particle":"","family":"Chen","given":"Yan Mei","non-dropping-particle":"","parse-names":false,"suffix":""},{"dropping-particle":"","family":"Wang","given":"Wen","non-dropping-particle":"","parse-names":false,"suffix":""},{"dropping-particle":"","family":"Song","given":"Zhi Gang","non-dropping-particle":"","parse-names":false,"suffix":""},{"dropping-particle":"","family":"Hu","given":"Yi","non-dropping-particle":"","parse-names":false,"suffix":""},{"dropping-particle":"","family":"Tao","given":"Zhao Wu","non-dropping-particle":"","parse-names":false,"suffix":""},{"dropping-particle":"","family":"Tian","given":"Jun Hua","non-dropping-particle":"","parse-names":false,"suffix":""},{"dropping-particle":"","family":"Pei","given":"Yuan Yuan","non-dropping-particle":"","parse-names":false,"suffix":""},{"dropping-particle":"","family":"Yuan","given":"Ming Li","non-dropping-particle":"","parse-names":false,"suffix":""},{"dropping-particle":"","family":"Zhang","given":"Yu Ling","non-dropping-particle":"","parse-names":false,"suffix":""},{"dropping-particle":"","family":"Dai","given":"Fa Hui","non-dropping-particle":"","parse-names":false,"suffix":""},{"dropping-particle":"","family":"Liu","given":"Yi","non-dropping-particle":"","parse-names":false,"suffix":""},{"dropping-particle":"","family":"Wang","given":"Qi Min","non-dropping-particle":"","parse-names":false,"suffix":""},{"dropping-particle":"","family":"Zheng","given":"Jiao Jiao","non-dropping-particle":"","parse-names":false,"suffix":""},{"dropping-particle":"","family":"Xu","given":"Lin","non-dropping-particle":"","parse-names":false,"suffix":""},{"dropping-particle":"","family":"Holmes","given":"Edward C.","non-dropping-particle":"","parse-names":false,"suffix":""},{"dropping-particle":"","family":"Zhang","given":"Yong Zhen","non-dropping-particle":"","parse-names":false,"suffix":""}],"container-title":"Nature","id":"ITEM-3","issue":"7798","issued":{"date-parts":[["2020","3","12"]]},"page":"265-269","publisher":"Nature Research","title":"A new coronavirus associated with human respiratory disease in China","type":"article-journal","volume":"579"},"uris":["http://www.mendeley.com/documents/?uuid=e608c928-1ce8-3b63-8eae-7fcabfdfca07"]}],"mendeley":{"formattedCitation":"(31,32,34)","plainTextFormattedCitation":"(31,32,34)","previouslyFormattedCitation":"(31,32,34)"},"properties":{"noteIndex":0},"schema":"https://github.com/citation-style-language/schema/raw/master/csl-citation.json"}</w:instrText>
      </w:r>
      <w:r w:rsidRPr="007E63B9">
        <w:rPr>
          <w:rFonts w:ascii="Times New Roman" w:hAnsi="Times New Roman" w:cs="Times New Roman"/>
        </w:rPr>
        <w:fldChar w:fldCharType="separate"/>
      </w:r>
      <w:r w:rsidRPr="00685F42">
        <w:rPr>
          <w:rFonts w:ascii="Times New Roman" w:hAnsi="Times New Roman" w:cs="Times New Roman"/>
          <w:noProof/>
        </w:rPr>
        <w:t>(31,32,34)</w:t>
      </w:r>
      <w:r w:rsidRPr="007E63B9">
        <w:rPr>
          <w:rFonts w:ascii="Times New Roman" w:hAnsi="Times New Roman" w:cs="Times New Roman"/>
        </w:rPr>
        <w:fldChar w:fldCharType="end"/>
      </w:r>
      <w:r w:rsidRPr="3F7C356C">
        <w:rPr>
          <w:rFonts w:ascii="Times New Roman" w:hAnsi="Times New Roman" w:cs="Times New Roman"/>
        </w:rPr>
        <w:t>.</w:t>
      </w:r>
      <w:r w:rsidRPr="007E63B9">
        <w:rPr>
          <w:rFonts w:ascii="Times New Roman" w:hAnsi="Times New Roman" w:cs="Times New Roman"/>
        </w:rPr>
        <w:t xml:space="preserve"> </w:t>
      </w:r>
      <w:r w:rsidRPr="281334D8">
        <w:rPr>
          <w:rFonts w:ascii="Times New Roman" w:hAnsi="Times New Roman" w:cs="Times New Roman"/>
        </w:rPr>
        <w:t>Spheres</w:t>
      </w:r>
      <w:r w:rsidRPr="007E63B9">
        <w:rPr>
          <w:rFonts w:ascii="Times New Roman" w:hAnsi="Times New Roman" w:cs="Times New Roman"/>
        </w:rPr>
        <w:t xml:space="preserve"> represent the </w:t>
      </w:r>
      <w:r>
        <w:rPr>
          <w:rFonts w:ascii="Times New Roman" w:hAnsi="Times New Roman" w:cs="Times New Roman"/>
        </w:rPr>
        <w:t xml:space="preserve">percentage </w:t>
      </w:r>
      <w:r w:rsidRPr="007E63B9">
        <w:rPr>
          <w:rFonts w:ascii="Times New Roman" w:hAnsi="Times New Roman" w:cs="Times New Roman"/>
        </w:rPr>
        <w:t xml:space="preserve">of predicted reads above 0.95 </w:t>
      </w:r>
      <w:r>
        <w:rPr>
          <w:rFonts w:ascii="Times New Roman" w:hAnsi="Times New Roman" w:cs="Times New Roman"/>
        </w:rPr>
        <w:t xml:space="preserve">posterior probability </w:t>
      </w:r>
      <w:r w:rsidRPr="007E63B9">
        <w:rPr>
          <w:rFonts w:ascii="Times New Roman" w:hAnsi="Times New Roman" w:cs="Times New Roman"/>
        </w:rPr>
        <w:t xml:space="preserve">score </w:t>
      </w:r>
      <w:r w:rsidRPr="4BD970DA">
        <w:rPr>
          <w:rFonts w:ascii="Times New Roman" w:hAnsi="Times New Roman" w:cs="Times New Roman"/>
        </w:rPr>
        <w:t>for</w:t>
      </w:r>
      <w:r>
        <w:rPr>
          <w:rFonts w:ascii="Times New Roman" w:hAnsi="Times New Roman" w:cs="Times New Roman"/>
        </w:rPr>
        <w:t xml:space="preserve"> PACIFIC (left), and the proportion of predicted viral reads using BWA-MEM (centre) and Kraken2 (right)</w:t>
      </w:r>
      <w:r w:rsidRPr="007E63B9">
        <w:rPr>
          <w:rFonts w:ascii="Times New Roman" w:hAnsi="Times New Roman" w:cs="Times New Roman"/>
        </w:rPr>
        <w:t xml:space="preserve">. </w:t>
      </w:r>
      <w:r w:rsidRPr="76220D65">
        <w:rPr>
          <w:rFonts w:ascii="Times New Roman" w:hAnsi="Times New Roman" w:cs="Times New Roman"/>
        </w:rPr>
        <w:t>Black</w:t>
      </w:r>
      <w:r w:rsidRPr="007E63B9">
        <w:rPr>
          <w:rFonts w:ascii="Times New Roman" w:hAnsi="Times New Roman" w:cs="Times New Roman"/>
        </w:rPr>
        <w:t xml:space="preserve"> circles represent </w:t>
      </w:r>
      <w:r w:rsidRPr="75E15E26">
        <w:rPr>
          <w:rFonts w:ascii="Times New Roman" w:hAnsi="Times New Roman" w:cs="Times New Roman"/>
        </w:rPr>
        <w:t xml:space="preserve">predictions where the percentage </w:t>
      </w:r>
      <w:r w:rsidRPr="116AA145">
        <w:rPr>
          <w:rFonts w:ascii="Times New Roman" w:hAnsi="Times New Roman" w:cs="Times New Roman"/>
        </w:rPr>
        <w:t xml:space="preserve">of reads </w:t>
      </w:r>
      <w:r w:rsidRPr="75E15E26">
        <w:rPr>
          <w:rFonts w:ascii="Times New Roman" w:hAnsi="Times New Roman" w:cs="Times New Roman"/>
        </w:rPr>
        <w:t xml:space="preserve">does not reach PACIFIC </w:t>
      </w:r>
      <w:r w:rsidRPr="05334224">
        <w:rPr>
          <w:rFonts w:ascii="Times New Roman" w:hAnsi="Times New Roman" w:cs="Times New Roman"/>
        </w:rPr>
        <w:t xml:space="preserve">thresholds </w:t>
      </w:r>
      <w:r w:rsidRPr="116AA145">
        <w:rPr>
          <w:rFonts w:ascii="Times New Roman" w:hAnsi="Times New Roman" w:cs="Times New Roman"/>
        </w:rPr>
        <w:t>(Table 2).</w:t>
      </w:r>
      <w:r w:rsidRPr="007E63B9">
        <w:rPr>
          <w:rFonts w:ascii="Times New Roman" w:hAnsi="Times New Roman" w:cs="Times New Roman"/>
        </w:rPr>
        <w:t xml:space="preserve"> Blue circles represent samples predicted </w:t>
      </w:r>
      <w:r w:rsidRPr="307873F3">
        <w:rPr>
          <w:rFonts w:ascii="Times New Roman" w:hAnsi="Times New Roman" w:cs="Times New Roman"/>
        </w:rPr>
        <w:t xml:space="preserve">above PACIFIC </w:t>
      </w:r>
      <w:r>
        <w:rPr>
          <w:rFonts w:ascii="Times New Roman" w:hAnsi="Times New Roman" w:cs="Times New Roman"/>
        </w:rPr>
        <w:t xml:space="preserve">class </w:t>
      </w:r>
      <w:r w:rsidRPr="307873F3">
        <w:rPr>
          <w:rFonts w:ascii="Times New Roman" w:hAnsi="Times New Roman" w:cs="Times New Roman"/>
        </w:rPr>
        <w:t>threshold</w:t>
      </w:r>
      <w:r>
        <w:rPr>
          <w:rFonts w:ascii="Times New Roman" w:hAnsi="Times New Roman" w:cs="Times New Roman"/>
        </w:rPr>
        <w:t>s.</w:t>
      </w:r>
    </w:p>
    <w:p w14:paraId="17D634D3" w14:textId="77777777" w:rsidR="00CC571D" w:rsidRDefault="00CC571D" w:rsidP="00CC571D">
      <w:pPr>
        <w:spacing w:before="120" w:after="120" w:line="480" w:lineRule="auto"/>
        <w:jc w:val="both"/>
        <w:rPr>
          <w:rFonts w:ascii="Times New Roman" w:eastAsia="Times New Roman" w:hAnsi="Times New Roman" w:cs="Times New Roman"/>
          <w:i/>
          <w:color w:val="000000" w:themeColor="text1"/>
          <w:lang w:eastAsia="en-GB"/>
        </w:rPr>
      </w:pPr>
      <w:r w:rsidRPr="2526E7A9">
        <w:rPr>
          <w:rFonts w:ascii="Times New Roman" w:eastAsia="Times New Roman" w:hAnsi="Times New Roman" w:cs="Times New Roman"/>
          <w:i/>
          <w:color w:val="000000" w:themeColor="text1"/>
          <w:lang w:eastAsia="en-GB"/>
        </w:rPr>
        <w:lastRenderedPageBreak/>
        <w:t xml:space="preserve">Extension of BLAST analysis </w:t>
      </w:r>
    </w:p>
    <w:p w14:paraId="0FB53ED3" w14:textId="77777777" w:rsidR="00CC571D" w:rsidRDefault="00CC571D" w:rsidP="00CC571D">
      <w:pPr>
        <w:spacing w:before="120" w:after="120" w:line="480" w:lineRule="auto"/>
        <w:jc w:val="both"/>
        <w:rPr>
          <w:rFonts w:ascii="Times New Roman" w:hAnsi="Times New Roman" w:cs="Times New Roman"/>
        </w:rPr>
      </w:pPr>
      <w:r>
        <w:rPr>
          <w:rFonts w:ascii="Times New Roman" w:hAnsi="Times New Roman" w:cs="Times New Roman"/>
        </w:rPr>
        <w:t xml:space="preserve">One </w:t>
      </w:r>
      <w:r w:rsidRPr="785197FD">
        <w:rPr>
          <w:rFonts w:ascii="Times New Roman" w:hAnsi="Times New Roman" w:cs="Times New Roman"/>
        </w:rPr>
        <w:t>sample</w:t>
      </w:r>
      <w:r>
        <w:rPr>
          <w:rFonts w:ascii="Times New Roman" w:hAnsi="Times New Roman" w:cs="Times New Roman"/>
        </w:rPr>
        <w:t xml:space="preserve"> (</w:t>
      </w:r>
      <w:r w:rsidRPr="785197FD">
        <w:rPr>
          <w:rFonts w:ascii="Times New Roman" w:hAnsi="Times New Roman" w:cs="Times New Roman"/>
        </w:rPr>
        <w:t>SRR4427279</w:t>
      </w:r>
      <w:r>
        <w:rPr>
          <w:rFonts w:ascii="Times New Roman" w:hAnsi="Times New Roman" w:cs="Times New Roman"/>
        </w:rPr>
        <w:t>)</w:t>
      </w:r>
      <w:r w:rsidRPr="785197FD">
        <w:rPr>
          <w:rFonts w:ascii="Times New Roman" w:hAnsi="Times New Roman" w:cs="Times New Roman"/>
        </w:rPr>
        <w:t xml:space="preserve"> was classified as being positive for the Metapneumovirus class by BWA-MEM</w:t>
      </w:r>
      <w:r w:rsidRPr="785197FD">
        <w:rPr>
          <w:rFonts w:ascii="Times New Roman" w:hAnsi="Times New Roman" w:cs="Times New Roman"/>
          <w:i/>
          <w:iCs/>
        </w:rPr>
        <w:t xml:space="preserve"> </w:t>
      </w:r>
      <w:r w:rsidRPr="785197FD">
        <w:rPr>
          <w:rFonts w:ascii="Times New Roman" w:hAnsi="Times New Roman" w:cs="Times New Roman"/>
        </w:rPr>
        <w:t xml:space="preserve">and Kraken2 but not by PACIFIC. </w:t>
      </w:r>
      <w:r>
        <w:rPr>
          <w:rFonts w:ascii="Times New Roman" w:hAnsi="Times New Roman" w:cs="Times New Roman"/>
        </w:rPr>
        <w:t xml:space="preserve">Best hits for all 28 reads aligned to human respiratory syncytial virus A (see Results). </w:t>
      </w:r>
      <w:r w:rsidRPr="785197FD">
        <w:rPr>
          <w:rFonts w:ascii="Times New Roman" w:hAnsi="Times New Roman" w:cs="Times New Roman"/>
        </w:rPr>
        <w:t xml:space="preserve">To </w:t>
      </w:r>
      <w:r>
        <w:rPr>
          <w:rFonts w:ascii="Times New Roman" w:hAnsi="Times New Roman" w:cs="Times New Roman"/>
        </w:rPr>
        <w:t>further test whether these reads may be derived from metapneumovirus, we investigated secondary BLAST hits for these reads. W</w:t>
      </w:r>
      <w:r w:rsidRPr="785197FD">
        <w:rPr>
          <w:rFonts w:ascii="Times New Roman" w:hAnsi="Times New Roman" w:cs="Times New Roman"/>
        </w:rPr>
        <w:t xml:space="preserve">e used BLASTN </w:t>
      </w:r>
      <w:r>
        <w:rPr>
          <w:rFonts w:ascii="Times New Roman" w:hAnsi="Times New Roman" w:cs="Times New Roman"/>
        </w:rPr>
        <w:t>to align all 28 reads to the</w:t>
      </w:r>
      <w:r w:rsidRPr="785197FD">
        <w:rPr>
          <w:rFonts w:ascii="Times New Roman" w:hAnsi="Times New Roman" w:cs="Times New Roman"/>
        </w:rPr>
        <w:t xml:space="preserve"> NCBI nucleotide</w:t>
      </w:r>
      <w:r w:rsidRPr="785197FD">
        <w:rPr>
          <w:rFonts w:ascii="Times New Roman" w:hAnsi="Times New Roman" w:cs="Times New Roman"/>
          <w:i/>
          <w:iCs/>
        </w:rPr>
        <w:t xml:space="preserve"> (</w:t>
      </w:r>
      <w:proofErr w:type="spellStart"/>
      <w:r w:rsidRPr="785197FD">
        <w:rPr>
          <w:rFonts w:ascii="Times New Roman" w:hAnsi="Times New Roman" w:cs="Times New Roman"/>
          <w:i/>
          <w:iCs/>
        </w:rPr>
        <w:t>nt</w:t>
      </w:r>
      <w:proofErr w:type="spellEnd"/>
      <w:r w:rsidRPr="785197FD">
        <w:rPr>
          <w:rFonts w:ascii="Times New Roman" w:hAnsi="Times New Roman" w:cs="Times New Roman"/>
          <w:i/>
          <w:iCs/>
        </w:rPr>
        <w:t xml:space="preserve">) </w:t>
      </w:r>
      <w:r w:rsidRPr="785197FD">
        <w:rPr>
          <w:rFonts w:ascii="Times New Roman" w:hAnsi="Times New Roman" w:cs="Times New Roman"/>
        </w:rPr>
        <w:t xml:space="preserve">database, taking the best </w:t>
      </w:r>
      <w:proofErr w:type="spellStart"/>
      <w:r>
        <w:rPr>
          <w:rFonts w:ascii="Times New Roman" w:hAnsi="Times New Roman" w:cs="Times New Roman"/>
        </w:rPr>
        <w:t>hsp</w:t>
      </w:r>
      <w:proofErr w:type="spellEnd"/>
      <w:r w:rsidRPr="785197FD">
        <w:rPr>
          <w:rFonts w:ascii="Times New Roman" w:hAnsi="Times New Roman" w:cs="Times New Roman"/>
        </w:rPr>
        <w:t xml:space="preserve"> </w:t>
      </w:r>
      <w:r>
        <w:rPr>
          <w:rFonts w:ascii="Times New Roman" w:hAnsi="Times New Roman" w:cs="Times New Roman"/>
        </w:rPr>
        <w:t xml:space="preserve">from pairwise alignments </w:t>
      </w:r>
      <w:r w:rsidRPr="785197FD">
        <w:rPr>
          <w:rFonts w:ascii="Times New Roman" w:hAnsi="Times New Roman" w:cs="Times New Roman"/>
        </w:rPr>
        <w:t xml:space="preserve">for a maximum of 10 </w:t>
      </w:r>
      <w:r>
        <w:rPr>
          <w:rFonts w:ascii="Times New Roman" w:hAnsi="Times New Roman" w:cs="Times New Roman"/>
        </w:rPr>
        <w:t>target sequences</w:t>
      </w:r>
      <w:r w:rsidRPr="785197FD">
        <w:rPr>
          <w:rFonts w:ascii="Times New Roman" w:hAnsi="Times New Roman" w:cs="Times New Roman"/>
        </w:rPr>
        <w:t xml:space="preserve"> for each read, using the parameters --</w:t>
      </w:r>
      <w:proofErr w:type="spellStart"/>
      <w:r w:rsidRPr="785197FD">
        <w:rPr>
          <w:rFonts w:ascii="Times New Roman" w:eastAsia="Times New Roman" w:hAnsi="Times New Roman" w:cs="Times New Roman"/>
          <w:i/>
          <w:iCs/>
        </w:rPr>
        <w:t>max_target_seqs</w:t>
      </w:r>
      <w:proofErr w:type="spellEnd"/>
      <w:r w:rsidRPr="785197FD">
        <w:rPr>
          <w:rFonts w:ascii="Times New Roman" w:eastAsia="Times New Roman" w:hAnsi="Times New Roman" w:cs="Times New Roman"/>
          <w:i/>
          <w:iCs/>
        </w:rPr>
        <w:t xml:space="preserve"> 10 –</w:t>
      </w:r>
      <w:proofErr w:type="spellStart"/>
      <w:r w:rsidRPr="785197FD">
        <w:rPr>
          <w:rFonts w:ascii="Times New Roman" w:eastAsia="Times New Roman" w:hAnsi="Times New Roman" w:cs="Times New Roman"/>
        </w:rPr>
        <w:t>max_hsps</w:t>
      </w:r>
      <w:proofErr w:type="spellEnd"/>
      <w:r w:rsidRPr="785197FD">
        <w:rPr>
          <w:rFonts w:ascii="Times New Roman" w:eastAsia="Times New Roman" w:hAnsi="Times New Roman" w:cs="Times New Roman"/>
        </w:rPr>
        <w:t xml:space="preserve"> </w:t>
      </w:r>
      <w:r w:rsidRPr="785197FD">
        <w:rPr>
          <w:rFonts w:ascii="Times New Roman" w:eastAsia="Times New Roman" w:hAnsi="Times New Roman" w:cs="Times New Roman"/>
          <w:i/>
          <w:iCs/>
        </w:rPr>
        <w:t>1</w:t>
      </w:r>
      <w:r w:rsidRPr="785197FD">
        <w:rPr>
          <w:rFonts w:ascii="Times New Roman" w:hAnsi="Times New Roman" w:cs="Times New Roman"/>
        </w:rPr>
        <w:t xml:space="preserve">. Such searches revealed that all 28 reads had their best hits for their top 10 alignments to either human respiratory syncytial virus A sequences (267/280 pairwise alignments) or its genus Human </w:t>
      </w:r>
      <w:proofErr w:type="spellStart"/>
      <w:r w:rsidRPr="785197FD">
        <w:rPr>
          <w:rFonts w:ascii="Times New Roman" w:hAnsi="Times New Roman" w:cs="Times New Roman"/>
        </w:rPr>
        <w:t>orthopneumovirus</w:t>
      </w:r>
      <w:proofErr w:type="spellEnd"/>
      <w:r w:rsidRPr="785197FD">
        <w:rPr>
          <w:rFonts w:ascii="Times New Roman" w:hAnsi="Times New Roman" w:cs="Times New Roman"/>
        </w:rPr>
        <w:t xml:space="preserve"> (13/280 pairwise alignments)</w:t>
      </w:r>
      <w:r>
        <w:rPr>
          <w:rFonts w:ascii="Times New Roman" w:hAnsi="Times New Roman" w:cs="Times New Roman"/>
        </w:rPr>
        <w:t>;</w:t>
      </w:r>
      <w:r w:rsidRPr="785197FD">
        <w:rPr>
          <w:rFonts w:ascii="Times New Roman" w:hAnsi="Times New Roman" w:cs="Times New Roman"/>
        </w:rPr>
        <w:t xml:space="preserve"> no </w:t>
      </w:r>
      <w:r>
        <w:rPr>
          <w:rFonts w:ascii="Times New Roman" w:hAnsi="Times New Roman" w:cs="Times New Roman"/>
        </w:rPr>
        <w:t>hits to metapneumovirus sequences</w:t>
      </w:r>
      <w:r w:rsidRPr="785197FD">
        <w:rPr>
          <w:rFonts w:ascii="Times New Roman" w:hAnsi="Times New Roman" w:cs="Times New Roman"/>
        </w:rPr>
        <w:t xml:space="preserve"> were found.</w:t>
      </w:r>
    </w:p>
    <w:p w14:paraId="3737D2A9" w14:textId="5214DE19" w:rsidR="00CC571D" w:rsidRDefault="00CC571D" w:rsidP="00CC571D">
      <w:pPr>
        <w:spacing w:before="120" w:after="120" w:line="480" w:lineRule="auto"/>
        <w:jc w:val="both"/>
        <w:textAlignment w:val="baseline"/>
        <w:rPr>
          <w:rFonts w:ascii="Times New Roman" w:eastAsia="Times New Roman" w:hAnsi="Times New Roman" w:cs="Times New Roman"/>
        </w:rPr>
      </w:pPr>
      <w:r>
        <w:rPr>
          <w:rFonts w:ascii="Times New Roman" w:hAnsi="Times New Roman" w:cs="Times New Roman"/>
        </w:rPr>
        <w:t xml:space="preserve">BWA-MEM, but not PACIFIC or Kraken2 also reported reads that aligned to Rhinovirus for one sample, with best hits from BLAST showing alignments primarily to </w:t>
      </w:r>
      <w:r>
        <w:rPr>
          <w:rFonts w:ascii="Times New Roman" w:hAnsi="Times New Roman" w:cs="Times New Roman"/>
          <w:i/>
          <w:iCs/>
        </w:rPr>
        <w:t xml:space="preserve">Homo sapiens </w:t>
      </w:r>
      <w:r>
        <w:rPr>
          <w:rFonts w:ascii="Times New Roman" w:hAnsi="Times New Roman" w:cs="Times New Roman"/>
        </w:rPr>
        <w:t xml:space="preserve">and </w:t>
      </w:r>
      <w:r>
        <w:rPr>
          <w:rFonts w:ascii="Times New Roman" w:hAnsi="Times New Roman" w:cs="Times New Roman"/>
          <w:i/>
          <w:iCs/>
        </w:rPr>
        <w:t xml:space="preserve">Pan </w:t>
      </w:r>
      <w:proofErr w:type="spellStart"/>
      <w:r>
        <w:rPr>
          <w:rFonts w:ascii="Times New Roman" w:hAnsi="Times New Roman" w:cs="Times New Roman"/>
          <w:i/>
          <w:iCs/>
        </w:rPr>
        <w:t>paniscus</w:t>
      </w:r>
      <w:proofErr w:type="spellEnd"/>
      <w:r>
        <w:rPr>
          <w:rFonts w:ascii="Times New Roman" w:hAnsi="Times New Roman" w:cs="Times New Roman"/>
        </w:rPr>
        <w:t xml:space="preserve"> (</w:t>
      </w:r>
      <w:r w:rsidRPr="0DF73314">
        <w:rPr>
          <w:rFonts w:ascii="Times New Roman" w:hAnsi="Times New Roman" w:cs="Times New Roman"/>
        </w:rPr>
        <w:t>SRR4895842</w:t>
      </w:r>
      <w:r>
        <w:rPr>
          <w:rFonts w:ascii="Times New Roman" w:hAnsi="Times New Roman" w:cs="Times New Roman"/>
        </w:rPr>
        <w:t>; see Results). A similar</w:t>
      </w:r>
      <w:r w:rsidRPr="0DF73314">
        <w:rPr>
          <w:rFonts w:ascii="Times New Roman" w:hAnsi="Times New Roman" w:cs="Times New Roman"/>
        </w:rPr>
        <w:t xml:space="preserve"> strategy was used to </w:t>
      </w:r>
      <w:r>
        <w:rPr>
          <w:rFonts w:ascii="Times New Roman" w:hAnsi="Times New Roman" w:cs="Times New Roman"/>
        </w:rPr>
        <w:t>test whether secondary hits from these reads were derived from rhinovirus using BLAST.</w:t>
      </w:r>
      <w:r w:rsidRPr="0DF73314">
        <w:rPr>
          <w:rFonts w:ascii="Times New Roman" w:hAnsi="Times New Roman" w:cs="Times New Roman"/>
        </w:rPr>
        <w:t xml:space="preserve"> </w:t>
      </w:r>
      <w:r w:rsidRPr="630E1141">
        <w:rPr>
          <w:rFonts w:ascii="Times New Roman" w:hAnsi="Times New Roman" w:cs="Times New Roman"/>
        </w:rPr>
        <w:t>We collected</w:t>
      </w:r>
      <w:r w:rsidRPr="0DF73314">
        <w:rPr>
          <w:rFonts w:ascii="Times New Roman" w:hAnsi="Times New Roman" w:cs="Times New Roman"/>
        </w:rPr>
        <w:t xml:space="preserve"> reads classified as Rhinovirus by BWA-MEM and used BLASTN against (</w:t>
      </w:r>
      <w:proofErr w:type="spellStart"/>
      <w:r w:rsidRPr="0DF73314">
        <w:rPr>
          <w:rFonts w:ascii="Times New Roman" w:hAnsi="Times New Roman" w:cs="Times New Roman"/>
          <w:i/>
          <w:iCs/>
        </w:rPr>
        <w:t>nt</w:t>
      </w:r>
      <w:proofErr w:type="spellEnd"/>
      <w:r w:rsidRPr="0DF73314">
        <w:rPr>
          <w:rFonts w:ascii="Times New Roman" w:hAnsi="Times New Roman" w:cs="Times New Roman"/>
        </w:rPr>
        <w:t>) database to investigate the 10</w:t>
      </w:r>
      <w:r>
        <w:rPr>
          <w:rFonts w:ascii="Times New Roman" w:hAnsi="Times New Roman" w:cs="Times New Roman"/>
        </w:rPr>
        <w:t xml:space="preserve"> best database matches</w:t>
      </w:r>
      <w:r w:rsidRPr="0DF73314">
        <w:rPr>
          <w:rFonts w:ascii="Times New Roman" w:hAnsi="Times New Roman" w:cs="Times New Roman"/>
        </w:rPr>
        <w:t xml:space="preserve"> per read. The</w:t>
      </w:r>
      <w:r>
        <w:rPr>
          <w:rFonts w:ascii="Times New Roman" w:hAnsi="Times New Roman" w:cs="Times New Roman"/>
        </w:rPr>
        <w:t xml:space="preserve"> m</w:t>
      </w:r>
      <w:r w:rsidRPr="0DF73314">
        <w:rPr>
          <w:rFonts w:ascii="Times New Roman" w:hAnsi="Times New Roman" w:cs="Times New Roman"/>
        </w:rPr>
        <w:t xml:space="preserve">ajority of these hits belong to </w:t>
      </w:r>
      <w:r w:rsidRPr="0DF73314">
        <w:rPr>
          <w:rFonts w:ascii="Times New Roman" w:hAnsi="Times New Roman" w:cs="Times New Roman"/>
          <w:i/>
          <w:iCs/>
        </w:rPr>
        <w:t xml:space="preserve">Homo </w:t>
      </w:r>
      <w:r w:rsidR="00045B5F">
        <w:rPr>
          <w:rFonts w:ascii="Times New Roman" w:hAnsi="Times New Roman" w:cs="Times New Roman"/>
          <w:i/>
          <w:iCs/>
        </w:rPr>
        <w:t>s</w:t>
      </w:r>
      <w:r w:rsidRPr="0DF73314">
        <w:rPr>
          <w:rFonts w:ascii="Times New Roman" w:hAnsi="Times New Roman" w:cs="Times New Roman"/>
          <w:i/>
          <w:iCs/>
        </w:rPr>
        <w:t>apiens</w:t>
      </w:r>
      <w:r w:rsidRPr="0DF73314">
        <w:rPr>
          <w:rFonts w:ascii="Times New Roman" w:hAnsi="Times New Roman" w:cs="Times New Roman"/>
        </w:rPr>
        <w:t xml:space="preserve">, followed by </w:t>
      </w:r>
      <w:r w:rsidRPr="0DF73314">
        <w:rPr>
          <w:rFonts w:ascii="Times New Roman" w:eastAsia="Times New Roman" w:hAnsi="Times New Roman" w:cs="Times New Roman"/>
          <w:i/>
          <w:iCs/>
        </w:rPr>
        <w:t xml:space="preserve">Pan </w:t>
      </w:r>
      <w:proofErr w:type="spellStart"/>
      <w:r w:rsidRPr="0DF73314">
        <w:rPr>
          <w:rFonts w:ascii="Times New Roman" w:eastAsia="Times New Roman" w:hAnsi="Times New Roman" w:cs="Times New Roman"/>
          <w:i/>
          <w:iCs/>
        </w:rPr>
        <w:t>paniscus</w:t>
      </w:r>
      <w:proofErr w:type="spellEnd"/>
      <w:r w:rsidRPr="0DF73314">
        <w:rPr>
          <w:rFonts w:ascii="Times New Roman" w:eastAsia="Times New Roman" w:hAnsi="Times New Roman" w:cs="Times New Roman"/>
          <w:i/>
          <w:iCs/>
        </w:rPr>
        <w:t xml:space="preserve">. </w:t>
      </w:r>
      <w:r w:rsidRPr="0DF73314">
        <w:rPr>
          <w:rFonts w:ascii="Times New Roman" w:eastAsia="Times New Roman" w:hAnsi="Times New Roman" w:cs="Times New Roman"/>
        </w:rPr>
        <w:t xml:space="preserve">In total, counting </w:t>
      </w:r>
      <w:r w:rsidRPr="630E1141">
        <w:rPr>
          <w:rFonts w:ascii="Times New Roman" w:eastAsia="Times New Roman" w:hAnsi="Times New Roman" w:cs="Times New Roman"/>
        </w:rPr>
        <w:t xml:space="preserve">best and </w:t>
      </w:r>
      <w:r w:rsidRPr="0DF73314">
        <w:rPr>
          <w:rFonts w:ascii="Times New Roman" w:eastAsia="Times New Roman" w:hAnsi="Times New Roman" w:cs="Times New Roman"/>
        </w:rPr>
        <w:t xml:space="preserve">secondary hits there </w:t>
      </w:r>
      <w:r>
        <w:rPr>
          <w:rFonts w:ascii="Times New Roman" w:eastAsia="Times New Roman" w:hAnsi="Times New Roman" w:cs="Times New Roman"/>
        </w:rPr>
        <w:t>were</w:t>
      </w:r>
      <w:r w:rsidRPr="0DF73314">
        <w:rPr>
          <w:rFonts w:ascii="Times New Roman" w:eastAsia="Times New Roman" w:hAnsi="Times New Roman" w:cs="Times New Roman"/>
        </w:rPr>
        <w:t xml:space="preserve"> 52 </w:t>
      </w:r>
      <w:r w:rsidRPr="630E1141">
        <w:rPr>
          <w:rFonts w:ascii="Times New Roman" w:eastAsia="Times New Roman" w:hAnsi="Times New Roman" w:cs="Times New Roman"/>
        </w:rPr>
        <w:t xml:space="preserve">taxonomy </w:t>
      </w:r>
      <w:r>
        <w:rPr>
          <w:rFonts w:ascii="Times New Roman" w:eastAsia="Times New Roman" w:hAnsi="Times New Roman" w:cs="Times New Roman"/>
        </w:rPr>
        <w:t>ID</w:t>
      </w:r>
      <w:r w:rsidRPr="630E1141">
        <w:rPr>
          <w:rFonts w:ascii="Times New Roman" w:eastAsia="Times New Roman" w:hAnsi="Times New Roman" w:cs="Times New Roman"/>
        </w:rPr>
        <w:t>s</w:t>
      </w:r>
      <w:r w:rsidRPr="0DF73314">
        <w:rPr>
          <w:rFonts w:ascii="Times New Roman" w:eastAsia="Times New Roman" w:hAnsi="Times New Roman" w:cs="Times New Roman"/>
        </w:rPr>
        <w:t xml:space="preserve"> matching</w:t>
      </w:r>
      <w:r w:rsidRPr="630E1141">
        <w:rPr>
          <w:rFonts w:ascii="Times New Roman" w:eastAsia="Times New Roman" w:hAnsi="Times New Roman" w:cs="Times New Roman"/>
        </w:rPr>
        <w:t xml:space="preserve"> to these reads</w:t>
      </w:r>
      <w:r>
        <w:rPr>
          <w:rFonts w:ascii="Times New Roman" w:eastAsia="Times New Roman" w:hAnsi="Times New Roman" w:cs="Times New Roman"/>
        </w:rPr>
        <w:t>;</w:t>
      </w:r>
      <w:r w:rsidRPr="0DF73314">
        <w:rPr>
          <w:rFonts w:ascii="Times New Roman" w:eastAsia="Times New Roman" w:hAnsi="Times New Roman" w:cs="Times New Roman"/>
        </w:rPr>
        <w:t xml:space="preserve"> none of these </w:t>
      </w:r>
      <w:r>
        <w:rPr>
          <w:rFonts w:ascii="Times New Roman" w:eastAsia="Times New Roman" w:hAnsi="Times New Roman" w:cs="Times New Roman"/>
        </w:rPr>
        <w:t xml:space="preserve">IDs </w:t>
      </w:r>
      <w:r w:rsidRPr="630E1141">
        <w:rPr>
          <w:rFonts w:ascii="Times New Roman" w:eastAsia="Times New Roman" w:hAnsi="Times New Roman" w:cs="Times New Roman"/>
        </w:rPr>
        <w:t>correspond</w:t>
      </w:r>
      <w:r>
        <w:rPr>
          <w:rFonts w:ascii="Times New Roman" w:eastAsia="Times New Roman" w:hAnsi="Times New Roman" w:cs="Times New Roman"/>
        </w:rPr>
        <w:t>ed</w:t>
      </w:r>
      <w:r w:rsidRPr="0DF73314">
        <w:rPr>
          <w:rFonts w:ascii="Times New Roman" w:eastAsia="Times New Roman" w:hAnsi="Times New Roman" w:cs="Times New Roman"/>
        </w:rPr>
        <w:t xml:space="preserve"> to Rhinovirus</w:t>
      </w:r>
      <w:r w:rsidRPr="51C7B553">
        <w:rPr>
          <w:rFonts w:ascii="Times New Roman" w:eastAsia="Times New Roman" w:hAnsi="Times New Roman" w:cs="Times New Roman"/>
        </w:rPr>
        <w:t xml:space="preserve">, or any </w:t>
      </w:r>
      <w:r w:rsidRPr="57623E80">
        <w:rPr>
          <w:rFonts w:ascii="Times New Roman" w:eastAsia="Times New Roman" w:hAnsi="Times New Roman" w:cs="Times New Roman"/>
        </w:rPr>
        <w:t xml:space="preserve">of the other model virus classes. </w:t>
      </w:r>
    </w:p>
    <w:p w14:paraId="44269536" w14:textId="77777777" w:rsidR="00CC571D" w:rsidRPr="00CC571D" w:rsidRDefault="00CC571D" w:rsidP="00CC571D">
      <w:pPr>
        <w:spacing w:before="120" w:after="120"/>
        <w:jc w:val="both"/>
        <w:rPr>
          <w:rFonts w:ascii="Times New Roman" w:hAnsi="Times New Roman" w:cs="Times New Roman"/>
        </w:rPr>
      </w:pPr>
    </w:p>
    <w:sectPr w:rsidR="00CC571D" w:rsidRPr="00CC571D" w:rsidSect="007E63B9">
      <w:headerReference w:type="default" r:id="rId6"/>
      <w:footerReference w:type="even" r:id="rId7"/>
      <w:footerReference w:type="default" r:id="rId8"/>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311555"/>
      <w:docPartObj>
        <w:docPartGallery w:val="Page Numbers (Bottom of Page)"/>
        <w:docPartUnique/>
      </w:docPartObj>
    </w:sdtPr>
    <w:sdtEndPr>
      <w:rPr>
        <w:rStyle w:val="PageNumber"/>
      </w:rPr>
    </w:sdtEndPr>
    <w:sdtContent>
      <w:p w14:paraId="26838375" w14:textId="77777777" w:rsidR="007D4156" w:rsidRDefault="00B63669" w:rsidP="009705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56F1DA" w14:textId="77777777" w:rsidR="007D4156" w:rsidRDefault="00B63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8121059"/>
      <w:docPartObj>
        <w:docPartGallery w:val="Page Numbers (Bottom of Page)"/>
        <w:docPartUnique/>
      </w:docPartObj>
    </w:sdtPr>
    <w:sdtEndPr>
      <w:rPr>
        <w:rStyle w:val="PageNumber"/>
      </w:rPr>
    </w:sdtEndPr>
    <w:sdtContent>
      <w:p w14:paraId="0B5AEDE8" w14:textId="77777777" w:rsidR="007D4156" w:rsidRDefault="00B63669" w:rsidP="009705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009"/>
      <w:gridCol w:w="3009"/>
      <w:gridCol w:w="3009"/>
    </w:tblGrid>
    <w:tr w:rsidR="007D4156" w14:paraId="6385D264" w14:textId="77777777" w:rsidTr="0061542A">
      <w:tc>
        <w:tcPr>
          <w:tcW w:w="3009" w:type="dxa"/>
        </w:tcPr>
        <w:p w14:paraId="3A65860B" w14:textId="77777777" w:rsidR="007D4156" w:rsidRDefault="00B63669" w:rsidP="0061542A">
          <w:pPr>
            <w:pStyle w:val="Header"/>
            <w:ind w:left="-115" w:right="360"/>
          </w:pPr>
        </w:p>
      </w:tc>
      <w:tc>
        <w:tcPr>
          <w:tcW w:w="3009" w:type="dxa"/>
        </w:tcPr>
        <w:p w14:paraId="63D426A4" w14:textId="77777777" w:rsidR="007D4156" w:rsidRDefault="00B63669" w:rsidP="0061542A">
          <w:pPr>
            <w:pStyle w:val="Header"/>
            <w:jc w:val="center"/>
          </w:pPr>
        </w:p>
      </w:tc>
      <w:tc>
        <w:tcPr>
          <w:tcW w:w="3009" w:type="dxa"/>
        </w:tcPr>
        <w:p w14:paraId="5CDB48D4" w14:textId="77777777" w:rsidR="007D4156" w:rsidRDefault="00B63669" w:rsidP="0061542A">
          <w:pPr>
            <w:pStyle w:val="Header"/>
            <w:ind w:right="-115"/>
            <w:jc w:val="right"/>
          </w:pPr>
        </w:p>
      </w:tc>
    </w:tr>
  </w:tbl>
  <w:p w14:paraId="1FE53D51" w14:textId="77777777" w:rsidR="007D4156" w:rsidRDefault="00B63669" w:rsidP="0021188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7D4156" w14:paraId="20918433" w14:textId="77777777" w:rsidTr="0061542A">
      <w:tc>
        <w:tcPr>
          <w:tcW w:w="3009" w:type="dxa"/>
        </w:tcPr>
        <w:p w14:paraId="1BCEF6CA" w14:textId="77777777" w:rsidR="007D4156" w:rsidRDefault="00B63669" w:rsidP="0061542A">
          <w:pPr>
            <w:pStyle w:val="Header"/>
            <w:ind w:left="-115"/>
          </w:pPr>
        </w:p>
      </w:tc>
      <w:tc>
        <w:tcPr>
          <w:tcW w:w="3009" w:type="dxa"/>
        </w:tcPr>
        <w:p w14:paraId="6DDE568E" w14:textId="77777777" w:rsidR="007D4156" w:rsidRDefault="00B63669" w:rsidP="0061542A">
          <w:pPr>
            <w:pStyle w:val="Header"/>
            <w:jc w:val="center"/>
          </w:pPr>
        </w:p>
      </w:tc>
      <w:tc>
        <w:tcPr>
          <w:tcW w:w="3009" w:type="dxa"/>
        </w:tcPr>
        <w:p w14:paraId="05AB881D" w14:textId="77777777" w:rsidR="007D4156" w:rsidRDefault="00B63669" w:rsidP="0061542A">
          <w:pPr>
            <w:pStyle w:val="Header"/>
            <w:ind w:right="-115"/>
            <w:jc w:val="right"/>
          </w:pPr>
        </w:p>
      </w:tc>
    </w:tr>
  </w:tbl>
  <w:p w14:paraId="09894CD5" w14:textId="77777777" w:rsidR="007D4156" w:rsidRDefault="00B63669" w:rsidP="002118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1D"/>
    <w:rsid w:val="00045B5F"/>
    <w:rsid w:val="001934B9"/>
    <w:rsid w:val="00487575"/>
    <w:rsid w:val="00796733"/>
    <w:rsid w:val="00805415"/>
    <w:rsid w:val="00823372"/>
    <w:rsid w:val="00907AA5"/>
    <w:rsid w:val="00960B81"/>
    <w:rsid w:val="009B5F64"/>
    <w:rsid w:val="00A20920"/>
    <w:rsid w:val="00A80A41"/>
    <w:rsid w:val="00B63669"/>
    <w:rsid w:val="00CC57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F3DDFE5"/>
  <w15:chartTrackingRefBased/>
  <w15:docId w15:val="{3D2CF72C-F200-D44E-BE66-BF4EBE89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7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571D"/>
    <w:rPr>
      <w:rFonts w:ascii="Times New Roman" w:hAnsi="Times New Roman" w:cs="Times New Roman"/>
      <w:sz w:val="18"/>
      <w:szCs w:val="18"/>
    </w:rPr>
  </w:style>
  <w:style w:type="character" w:customStyle="1" w:styleId="HeaderChar">
    <w:name w:val="Header Char"/>
    <w:basedOn w:val="DefaultParagraphFont"/>
    <w:link w:val="Header"/>
    <w:uiPriority w:val="99"/>
    <w:qFormat/>
    <w:rsid w:val="00CC571D"/>
    <w:rPr>
      <w:rFonts w:ascii="Times New Roman" w:eastAsia="Times New Roman" w:hAnsi="Times New Roman" w:cs="Times New Roman"/>
      <w:lang w:eastAsia="en-GB"/>
    </w:rPr>
  </w:style>
  <w:style w:type="character" w:customStyle="1" w:styleId="FooterChar">
    <w:name w:val="Footer Char"/>
    <w:basedOn w:val="DefaultParagraphFont"/>
    <w:link w:val="Footer"/>
    <w:uiPriority w:val="99"/>
    <w:qFormat/>
    <w:rsid w:val="00CC571D"/>
    <w:rPr>
      <w:rFonts w:ascii="Times New Roman" w:eastAsia="Times New Roman" w:hAnsi="Times New Roman" w:cs="Times New Roman"/>
      <w:lang w:eastAsia="en-GB"/>
    </w:rPr>
  </w:style>
  <w:style w:type="paragraph" w:styleId="Header">
    <w:name w:val="header"/>
    <w:basedOn w:val="Normal"/>
    <w:link w:val="HeaderChar"/>
    <w:uiPriority w:val="99"/>
    <w:unhideWhenUsed/>
    <w:rsid w:val="00CC571D"/>
    <w:pPr>
      <w:tabs>
        <w:tab w:val="center" w:pos="4680"/>
        <w:tab w:val="right" w:pos="9360"/>
      </w:tabs>
    </w:pPr>
    <w:rPr>
      <w:rFonts w:ascii="Times New Roman" w:eastAsia="Times New Roman" w:hAnsi="Times New Roman" w:cs="Times New Roman"/>
      <w:lang w:eastAsia="en-GB"/>
    </w:rPr>
  </w:style>
  <w:style w:type="character" w:customStyle="1" w:styleId="HeaderChar1">
    <w:name w:val="Header Char1"/>
    <w:basedOn w:val="DefaultParagraphFont"/>
    <w:uiPriority w:val="99"/>
    <w:semiHidden/>
    <w:rsid w:val="00CC571D"/>
  </w:style>
  <w:style w:type="paragraph" w:styleId="Footer">
    <w:name w:val="footer"/>
    <w:basedOn w:val="Normal"/>
    <w:link w:val="FooterChar"/>
    <w:uiPriority w:val="99"/>
    <w:unhideWhenUsed/>
    <w:rsid w:val="00CC571D"/>
    <w:pPr>
      <w:tabs>
        <w:tab w:val="center" w:pos="4680"/>
        <w:tab w:val="right" w:pos="9360"/>
      </w:tabs>
    </w:pPr>
    <w:rPr>
      <w:rFonts w:ascii="Times New Roman" w:eastAsia="Times New Roman" w:hAnsi="Times New Roman" w:cs="Times New Roman"/>
      <w:lang w:eastAsia="en-GB"/>
    </w:rPr>
  </w:style>
  <w:style w:type="character" w:customStyle="1" w:styleId="FooterChar1">
    <w:name w:val="Footer Char1"/>
    <w:basedOn w:val="DefaultParagraphFont"/>
    <w:uiPriority w:val="99"/>
    <w:semiHidden/>
    <w:rsid w:val="00CC571D"/>
  </w:style>
  <w:style w:type="character" w:styleId="PageNumber">
    <w:name w:val="page number"/>
    <w:basedOn w:val="DefaultParagraphFont"/>
    <w:uiPriority w:val="99"/>
    <w:semiHidden/>
    <w:unhideWhenUsed/>
    <w:rsid w:val="00CC571D"/>
  </w:style>
  <w:style w:type="character" w:styleId="LineNumber">
    <w:name w:val="line number"/>
    <w:basedOn w:val="DefaultParagraphFont"/>
    <w:uiPriority w:val="99"/>
    <w:semiHidden/>
    <w:unhideWhenUsed/>
    <w:rsid w:val="00CC5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2034</Words>
  <Characters>11600</Characters>
  <Application>Microsoft Office Word</Application>
  <DocSecurity>0</DocSecurity>
  <Lines>96</Lines>
  <Paragraphs>27</Paragraphs>
  <ScaleCrop>false</ScaleCrop>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Balboa</dc:creator>
  <cp:keywords/>
  <dc:description/>
  <cp:lastModifiedBy>Renzo Balboa</cp:lastModifiedBy>
  <cp:revision>2</cp:revision>
  <dcterms:created xsi:type="dcterms:W3CDTF">2020-07-22T05:04:00Z</dcterms:created>
  <dcterms:modified xsi:type="dcterms:W3CDTF">2020-07-22T05:04:00Z</dcterms:modified>
</cp:coreProperties>
</file>