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FSC Agentic QE Framework</w:t>
      </w:r>
    </w:p>
    <w:p>
      <w:pPr>
        <w:spacing w:after="200"/>
        <w:jc w:val="center"/>
      </w:pPr>
      <w:r>
        <w:rPr>
          <w:color w:val="2E75B6"/>
          <w:sz w:val="32"/>
          <w:szCs w:val="32"/>
        </w:rPr>
        <w:t xml:space="preserve">A PACT-Driven Quality Engineering System</w:t>
      </w:r>
    </w:p>
    <w:p>
      <w:pPr>
        <w:spacing w:after="600"/>
        <w:jc w:val="center"/>
      </w:pPr>
      <w:r>
        <w:rPr>
          <w:i/>
          <w:iCs/>
          <w:color w:val="595959"/>
          <w:sz w:val="24"/>
          <w:szCs w:val="24"/>
        </w:rPr>
        <w:t xml:space="preserve">For Salesforce Financial Services Cloud — Wealth Management — FCA Regulated</w:t>
      </w:r>
    </w:p>
    <w:p>
      <w:pPr>
        <w:spacing w:after="200"/>
        <w:jc w:val="center"/>
      </w:pPr>
      <w:r>
        <w:rPr>
          <w:sz w:val="22"/>
          <w:szCs w:val="22"/>
        </w:rPr>
        <w:t xml:space="preserve">53 Specialized Agents • 12 Hard Gates • 4 Phases + Cross-Phase</w:t>
      </w:r>
    </w:p>
    <w:p>
      <w:pPr>
        <w:spacing w:after="1200"/>
        <w:jc w:val="center"/>
      </w:pPr>
      <w:r>
        <w:rPr>
          <w:b/>
          <w:bCs/>
          <w:color w:val="1F3864"/>
          <w:sz w:val="24"/>
          <w:szCs w:val="24"/>
        </w:rPr>
        <w:t xml:space="preserve">Proactive • Autonomous • Collaborative • Targeted</w:t>
      </w:r>
    </w:p>
    <w:p>
      <w:pPr>
        <w:spacing w:after="100"/>
        <w:jc w:val="center"/>
      </w:pPr>
      <w:r>
        <w:rPr>
          <w:sz w:val="22"/>
          <w:szCs w:val="22"/>
        </w:rPr>
        <w:t xml:space="preserve">Version 1.0 (PACT Edition)</w:t>
      </w:r>
    </w:p>
    <w:p>
      <w:pPr>
        <w:spacing w:after="100"/>
        <w:jc w:val="center"/>
      </w:pPr>
      <w:r>
        <w:rPr>
          <w:i/>
          <w:iCs/>
          <w:color w:val="595959"/>
          <w:sz w:val="20"/>
          <w:szCs w:val="20"/>
        </w:rPr>
        <w:t xml:space="preserve">Built on Copado Standard CI/CD + Copado Robotic Testing</w:t>
      </w:r>
    </w:p>
    <w:p>
      <w:r>
        <w:br w:type="page"/>
      </w:r>
    </w:p>
    <w:p>
      <w:pPr>
        <w:pStyle w:val="Heading1"/>
        <w:spacing w:after="20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Preface: Why PACT, Why FSC</w:t>
      </w:r>
    </w:p>
    <w:p>
      <w:pPr>
        <w:spacing w:after="120" w:before="0"/>
      </w:pPr>
      <w:r>
        <w:t xml:space="preserve">Picture this: it's 03:00 on a Tuesday. A wealth-management adviser at one of your firm's regional offices logs in to record a Suitability assessment for a retired client. The platform accepts the record. The automated regression suite passed last night. The release notes were green. But thirty-eight minutes later, a Compliance Officer notices that the COBS-mandated risk-tolerance question never rendered for that client segment — a hot-fix three days earlier removed the field for a different reason and nobody caught it. The firm is now potentially in breach of COBS 9.2. The remediation will take six weeks and a Section 166 inquiry will follow.</w:t>
      </w:r>
    </w:p>
    <w:p>
      <w:pPr>
        <w:spacing w:after="120" w:before="0"/>
      </w:pPr>
      <w:r>
        <w:t xml:space="preserve">This is the orchestra nobody wanted to conduct. Dozens of tools, hundreds of tests, thousands of metrics — and the coordination still happens in Slack threads and Friday stand-ups. Testing is reactive. Quality is checked, not built.</w:t>
      </w:r>
    </w:p>
    <w:p>
      <w:pPr>
        <w:pBdr>
          <w:left w:val="single" w:color="2E75B6" w:sz="24" w:space="12"/>
        </w:pBdr>
        <w:spacing w:after="160" w:before="160"/>
        <w:ind w:left="720" w:right="720"/>
      </w:pPr>
      <w:r>
        <w:rPr>
          <w:i/>
          <w:iCs/>
          <w:color w:val="404040"/>
        </w:rPr>
        <w:t xml:space="preserve">Without orchestration, testing is theatre. In regulated wealth management, theatre is not just inefficient — it is unsafe.</w:t>
      </w:r>
    </w:p>
    <w:p>
      <w:pPr>
        <w:spacing w:after="120" w:before="0"/>
      </w:pPr>
      <w:r>
        <w:t xml:space="preserve">This framework adopts the PACT model — Proactive, Autonomous, Collaborative, Targeted — and applies it to the constraints that make FSC delivery genuinely different from general SaaS delivery:</w:t>
      </w:r>
    </w:p>
    <w:p>
      <w:pPr>
        <w:pStyle w:val="ListParagraph"/>
        <w:numPr>
          <w:ilvl w:val="0"/>
          <w:numId w:val="2"/>
        </w:numPr>
        <w:spacing w:after="80"/>
      </w:pPr>
      <w:r>
        <w:rPr>
          <w:b/>
          <w:bCs/>
        </w:rPr>
        <w:t xml:space="preserve">FCA regulatory oversight</w:t>
      </w:r>
      <w:r>
        <w:t xml:space="preserve"> — COBS, SYSC and Consumer Duty obligations that turn a missing field into a reportable incident.</w:t>
      </w:r>
    </w:p>
    <w:p>
      <w:pPr>
        <w:pStyle w:val="ListParagraph"/>
        <w:numPr>
          <w:ilvl w:val="0"/>
          <w:numId w:val="2"/>
        </w:numPr>
        <w:spacing w:after="80"/>
      </w:pPr>
      <w:r>
        <w:rPr>
          <w:b/>
          <w:bCs/>
        </w:rPr>
        <w:t xml:space="preserve">Salesforce platform mechanics</w:t>
      </w:r>
      <w:r>
        <w:t xml:space="preserve"> — declarative metadata, Apex governor limits, profile/permission set sprawl, sandbox refresh cycles.</w:t>
      </w:r>
    </w:p>
    <w:p>
      <w:pPr>
        <w:pStyle w:val="ListParagraph"/>
        <w:numPr>
          <w:ilvl w:val="0"/>
          <w:numId w:val="2"/>
        </w:numPr>
        <w:spacing w:after="80"/>
      </w:pPr>
      <w:r>
        <w:rPr>
          <w:b/>
          <w:bCs/>
        </w:rPr>
        <w:t xml:space="preserve">Copado Standard + CRT toolchain</w:t>
      </w:r>
      <w:r>
        <w:t xml:space="preserve"> — promotion-based deployment with self-healing UI tests.</w:t>
      </w:r>
    </w:p>
    <w:p>
      <w:pPr>
        <w:pStyle w:val="ListParagraph"/>
        <w:numPr>
          <w:ilvl w:val="0"/>
          <w:numId w:val="2"/>
        </w:numPr>
        <w:spacing w:after="80"/>
      </w:pPr>
      <w:r>
        <w:rPr>
          <w:b/>
          <w:bCs/>
        </w:rPr>
        <w:t xml:space="preserve">Wealth-specific data integrity</w:t>
      </w:r>
      <w:r>
        <w:t xml:space="preserve"> — Financial Accounts, Goals, Relationships, AUM roll-ups that must reconcile to the penny.</w:t>
      </w:r>
    </w:p>
    <w:p>
      <w:pPr>
        <w:pStyle w:val="ListParagraph"/>
        <w:numPr>
          <w:ilvl w:val="0"/>
          <w:numId w:val="2"/>
        </w:numPr>
        <w:spacing w:after="80"/>
      </w:pPr>
      <w:r>
        <w:rPr>
          <w:b/>
          <w:bCs/>
        </w:rPr>
        <w:t xml:space="preserve">7-year audit retention</w:t>
      </w:r>
      <w:r>
        <w:t xml:space="preserve"> — every agent decision must be reconstructable years later.</w:t>
      </w:r>
    </w:p>
    <w:p>
      <w:pPr>
        <w:spacing w:after="120" w:before="0"/>
      </w:pPr>
      <w:r>
        <w:t xml:space="preserve">The agents in this framework are instruments. The QE team conducts. Where the conductor must intervene — risk calls, regulatory judgements, ethical trade-offs — the framework forces a human into the loop and records why.</w:t>
      </w:r>
    </w:p>
    <w:p>
      <w:r>
        <w:br w:type="page"/>
      </w:r>
    </w:p>
    <w:p>
      <w:pPr>
        <w:pStyle w:val="Heading1"/>
        <w:spacing w:after="200" w:before="360"/>
      </w:pPr>
      <w:r>
        <w:t xml:space="preserve">2. The PACT Principles in an FSC Context</w:t>
      </w:r>
    </w:p>
    <w:p>
      <w:pPr>
        <w:spacing w:after="120" w:before="0"/>
      </w:pPr>
      <w:r>
        <w:t xml:space="preserve">PACT is not branding. It is a classification system, comparable to the SAE autonomy levels for vehicles, that tells you what kind of system you are actually running, what it can decide on its own, and where it must defer. Each principle has a specific meaning when the regulated entity is a wealth manager on Salesforce.</w:t>
      </w:r>
    </w:p>
    <w:p>
      <w:pPr>
        <w:pStyle w:val="Heading2"/>
        <w:spacing w:after="160" w:before="280"/>
      </w:pPr>
      <w:r>
        <w:t xml:space="preserve">2.1 Proactive — Anticipate, Don't Just React</w:t>
      </w:r>
    </w:p>
    <w:p>
      <w:pPr>
        <w:spacing w:after="120" w:before="0"/>
      </w:pPr>
      <w:r>
        <w:t xml:space="preserve">In classical FSC QE, defects surface in UAT or, worse, in Production after a Compliance Officer notices something missing. Proactive agents shift detection into Refinement and Development: the Refinement phase already knows whether a story will create FCA exposure before a single line of Apex is written; the Development phase already knows whether a Lightning Page change will break the Consumer Duty journey before the package is built.</w:t>
      </w:r>
    </w:p>
    <w:p>
      <w:pPr>
        <w:spacing w:after="120" w:before="0"/>
      </w:pPr>
      <w:r>
        <w:t xml:space="preserve">Honest caveat from the field: the first time a proactive agent runs over an FSC org, it will over-flag. A trivial label change will be classified as Consumer-Duty-relevant. A read-only field will be flagged as a permission risk. Calibration is mandatory — agents need at least two release cycles of feedback before their severity assessments stabilise.</w:t>
      </w:r>
    </w:p>
    <w:p>
      <w:pPr>
        <w:pStyle w:val="Heading2"/>
        <w:spacing w:after="160" w:before="280"/>
      </w:pPr>
      <w:r>
        <w:t xml:space="preserve">2.2 Autonomous — Self-Executing With Explainability</w:t>
      </w:r>
    </w:p>
    <w:p>
      <w:pPr>
        <w:spacing w:after="120" w:before="0"/>
      </w:pPr>
      <w:r>
        <w:t xml:space="preserve">An autonomous agent acts without waiting for a human to press a button. In a regulated context that is dangerous unless every action carries an explainability trace. Every decision logged by this framework records four fields:</w:t>
      </w:r>
    </w:p>
    <w:p>
      <w:pPr>
        <w:pStyle w:val="ListParagraph"/>
        <w:numPr>
          <w:ilvl w:val="0"/>
          <w:numId w:val="2"/>
        </w:numPr>
        <w:spacing w:after="80"/>
      </w:pPr>
      <w:r>
        <w:rPr>
          <w:b/>
          <w:bCs/>
        </w:rPr>
        <w:t xml:space="preserve">What</w:t>
      </w:r>
      <w:r>
        <w:t xml:space="preserve"> — the action taken (e.g., "blocked release", "raised Jira defect FSC-2417", "granted Apex-coverage gate exemption").</w:t>
      </w:r>
    </w:p>
    <w:p>
      <w:pPr>
        <w:pStyle w:val="ListParagraph"/>
        <w:numPr>
          <w:ilvl w:val="0"/>
          <w:numId w:val="2"/>
        </w:numPr>
        <w:spacing w:after="80"/>
      </w:pPr>
      <w:r>
        <w:rPr>
          <w:b/>
          <w:bCs/>
        </w:rPr>
        <w:t xml:space="preserve">Why</w:t>
      </w:r>
      <w:r>
        <w:t xml:space="preserve"> — the rule, threshold or pattern that triggered the action.</w:t>
      </w:r>
    </w:p>
    <w:p>
      <w:pPr>
        <w:pStyle w:val="ListParagraph"/>
        <w:numPr>
          <w:ilvl w:val="0"/>
          <w:numId w:val="2"/>
        </w:numPr>
        <w:spacing w:after="80"/>
      </w:pPr>
      <w:r>
        <w:rPr>
          <w:b/>
          <w:bCs/>
        </w:rPr>
        <w:t xml:space="preserve">Data</w:t>
      </w:r>
      <w:r>
        <w:t xml:space="preserve"> — the evidence (Apex test results, PMD output, Gherkin scenario, metadata diff).</w:t>
      </w:r>
    </w:p>
    <w:p>
      <w:pPr>
        <w:pStyle w:val="ListParagraph"/>
        <w:numPr>
          <w:ilvl w:val="0"/>
          <w:numId w:val="2"/>
        </w:numPr>
        <w:spacing w:after="80"/>
      </w:pPr>
      <w:r>
        <w:rPr>
          <w:b/>
          <w:bCs/>
        </w:rPr>
        <w:t xml:space="preserve">Confidence</w:t>
      </w:r>
      <w:r>
        <w:t xml:space="preserve"> — a 0–100 score. Below 60 the agent must escalate to a human.</w:t>
      </w:r>
    </w:p>
    <w:p>
      <w:pPr>
        <w:spacing w:after="120" w:before="0"/>
      </w:pPr>
      <w:r>
        <w:t xml:space="preserve">This trace is the artefact the FCA Regulatory Audit Agent retains for seven years. Without it, autonomy in a regulated environment is unsafe — it is hope disguised as automation.</w:t>
      </w:r>
    </w:p>
    <w:p>
      <w:pPr>
        <w:pStyle w:val="Heading2"/>
        <w:spacing w:after="160" w:before="280"/>
      </w:pPr>
      <w:r>
        <w:t xml:space="preserve">2.3 Collaborative — Agents, Humans and Systems Together</w:t>
      </w:r>
    </w:p>
    <w:p>
      <w:pPr>
        <w:spacing w:after="120" w:before="0"/>
      </w:pPr>
      <w:r>
        <w:t xml:space="preserve">Quality in wealth management has never been a solo activity. It is a conversation between the Product Owner, the Compliance Officer, the developer, the QE engineer, the business UAT lead and — increasingly — the agent fleet. The framework treats these as peers, not as agents-replacing-humans:</w:t>
      </w:r>
    </w:p>
    <w:p>
      <w:pPr>
        <w:pStyle w:val="ListParagraph"/>
        <w:numPr>
          <w:ilvl w:val="0"/>
          <w:numId w:val="2"/>
        </w:numPr>
        <w:spacing w:after="80"/>
      </w:pPr>
      <w:r>
        <w:t xml:space="preserve">Agents collaborate with agents (e.g., the INVEST Quality Agent feeds the FCA Compliance Classifier, which routes to the Compliance Officer).</w:t>
      </w:r>
    </w:p>
    <w:p>
      <w:pPr>
        <w:pStyle w:val="ListParagraph"/>
        <w:numPr>
          <w:ilvl w:val="0"/>
          <w:numId w:val="2"/>
        </w:numPr>
        <w:spacing w:after="80"/>
      </w:pPr>
      <w:r>
        <w:t xml:space="preserve">Agents collaborate with humans (e.g., the UAT Sign-off Gate requires PO + Business + Compliance Officer for HIGH-FCA-impact stories).</w:t>
      </w:r>
    </w:p>
    <w:p>
      <w:pPr>
        <w:pStyle w:val="ListParagraph"/>
        <w:numPr>
          <w:ilvl w:val="0"/>
          <w:numId w:val="2"/>
        </w:numPr>
        <w:spacing w:after="80"/>
      </w:pPr>
      <w:r>
        <w:t xml:space="preserve">Agents collaborate with systems (e.g., Copado promotion APIs, CRT execution, Jira defect creation, PMD result consumption).</w:t>
      </w:r>
    </w:p>
    <w:p>
      <w:pPr>
        <w:spacing w:after="120" w:before="0"/>
      </w:pPr>
      <w:r>
        <w:t xml:space="preserve">Practical consequence: humans review every CRT self-healing event. Silent drift in a wealth-management journey is unacceptable, even when the agent's auto-fix is technically correct.</w:t>
      </w:r>
    </w:p>
    <w:p>
      <w:pPr>
        <w:pStyle w:val="Heading2"/>
        <w:spacing w:after="160" w:before="280"/>
      </w:pPr>
      <w:r>
        <w:t xml:space="preserve">2.4 Targeted — Effort Where It Matters Most</w:t>
      </w:r>
    </w:p>
    <w:p>
      <w:pPr>
        <w:spacing w:after="120" w:before="0"/>
      </w:pPr>
      <w:r>
        <w:t xml:space="preserve">Not every Apex class deserves 85 % coverage. Not every Lightning component is on a Consumer Duty journey. Not every Flow processes Financial Account data. Targeted agents use a risk model layered over the FSC org:</w:t>
      </w:r>
    </w:p>
    <w:p>
      <w:pPr>
        <w:pStyle w:val="ListParagraph"/>
        <w:numPr>
          <w:ilvl w:val="0"/>
          <w:numId w:val="2"/>
        </w:numPr>
        <w:spacing w:after="80"/>
      </w:pPr>
      <w:r>
        <w:t xml:space="preserve">HIGH-FCA components (Suitability, Appropriateness, Risk Profile, Vulnerable Customer indicators) — 85 % Apex coverage minimum, async Compliance Officer review, ALL FCA scenarios must pass.</w:t>
      </w:r>
    </w:p>
    <w:p>
      <w:pPr>
        <w:pStyle w:val="ListParagraph"/>
        <w:numPr>
          <w:ilvl w:val="0"/>
          <w:numId w:val="2"/>
        </w:numPr>
        <w:spacing w:after="80"/>
      </w:pPr>
      <w:r>
        <w:t xml:space="preserve">Financial-data components (Goals, Financial Accounts, AUM, Relationships) — financial-data-integrity gate, ALL reconciliation scenarios must pass.</w:t>
      </w:r>
    </w:p>
    <w:p>
      <w:pPr>
        <w:pStyle w:val="ListParagraph"/>
        <w:numPr>
          <w:ilvl w:val="0"/>
          <w:numId w:val="2"/>
        </w:numPr>
        <w:spacing w:after="80"/>
      </w:pPr>
      <w:r>
        <w:t xml:space="preserve">Standard components — platform default 75 % coverage, normal gate cadence.</w:t>
      </w:r>
    </w:p>
    <w:p>
      <w:pPr>
        <w:spacing w:after="120" w:before="0"/>
      </w:pPr>
      <w:r>
        <w:t xml:space="preserve">The agents that find the most defects are those that look hardest where the firm is most exposed.</w:t>
      </w:r>
    </w:p>
    <w:p>
      <w:r>
        <w:br w:type="page"/>
      </w:r>
    </w:p>
    <w:p>
      <w:pPr>
        <w:pStyle w:val="Heading1"/>
        <w:spacing w:after="200" w:before="360"/>
      </w:pPr>
      <w:r>
        <w:t xml:space="preserve">3. Fleet Architecture — Conductor and Sections</w:t>
      </w:r>
    </w:p>
    <w:p>
      <w:pPr>
        <w:spacing w:after="120" w:before="0"/>
      </w:pPr>
      <w:r>
        <w:t xml:space="preserve">The framework deploys a fleet of fifty-three specialised agents, organised the way a symphony orchestra is organised: a conductor, sections, and principals within each section. Each agent has one job and does it well; orchestration is a separate concern handled by the Orchestration Layer.</w:t>
      </w:r>
    </w:p>
    <w:p>
      <w:pPr>
        <w:pStyle w:val="Heading2"/>
        <w:spacing w:after="160" w:before="280"/>
      </w:pPr>
      <w:r>
        <w:t xml:space="preserve">3.1 The Conductor — Fleet Commander</w:t>
      </w:r>
    </w:p>
    <w:p>
      <w:pPr>
        <w:spacing w:after="120" w:before="0"/>
      </w:pPr>
      <w:r>
        <w:t xml:space="preserve">The Fleet Commander is the top-level orchestrator. It does not write tests, does not run scans and does not raise defects. It does three things: it decides which agents run in which sequence for a given Jira story or release candidate; it enforces the twelve hard gates; and it raises every agent decision into the audit trace.</w:t>
      </w:r>
    </w:p>
    <w:p>
      <w:pPr>
        <w:spacing w:after="120" w:before="0"/>
      </w:pPr>
      <w:r>
        <w:t xml:space="preserve">The Fleet Commander runs in hierarchical mode, not in hive-mind mode. Hive-mind coordination is appropriate for exploratory work; in a regulated environment, hierarchy makes lines of responsibility explicit and easier to defend in a Section 166 inquiry.</w:t>
      </w:r>
    </w:p>
    <w:p>
      <w:pPr>
        <w:pStyle w:val="Heading2"/>
        <w:spacing w:after="160" w:before="280"/>
      </w:pPr>
      <w:r>
        <w:t xml:space="preserve">3.2 Sections — The Four Phases</w:t>
      </w:r>
    </w:p>
    <w:p>
      <w:pPr>
        <w:spacing w:after="120" w:before="0"/>
      </w:pPr>
      <w:r>
        <w:t xml:space="preserve">Agents are grouped by Agile phase. Each phase has at least one hard gate; some have several. A story or release candidate cannot exit a phase while any hard gate is failing.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480"/>
      </w:tblGrid>
      <w:tr>
        <w:trPr>
          <w:tblHeader/>
        </w:trPr>
        <w:tc>
          <w:tcPr>
            <w:tcW w:type="dxa" w:w="30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Phase</w:t>
            </w:r>
          </w:p>
        </w:tc>
        <w:tc>
          <w:tcPr>
            <w:tcW w:type="dxa" w:w="1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Agents</w:t>
            </w:r>
          </w:p>
        </w:tc>
        <w:tc>
          <w:tcPr>
            <w:tcW w:type="dxa" w:w="1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Hard Gates</w:t>
            </w:r>
          </w:p>
        </w:tc>
        <w:tc>
          <w:tcPr>
            <w:tcW w:type="dxa" w:w="34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Primary Purpose</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Refinement</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9</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w:t>
            </w:r>
          </w:p>
        </w:tc>
        <w:tc>
          <w:tcPr>
            <w:tcW w:type="dxa" w:w="34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Story shaping, INVEST, FCA classification, testability</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Development</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14</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w:t>
            </w:r>
          </w:p>
        </w:tc>
        <w:tc>
          <w:tcPr>
            <w:tcW w:type="dxa" w:w="34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Apex, metadata, code quality, security, unit testing</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Testing</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16</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w:t>
            </w:r>
          </w:p>
        </w:tc>
        <w:tc>
          <w:tcPr>
            <w:tcW w:type="dxa" w:w="34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API, CRT, regression, performance, accessibility, UAT</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11</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6</w:t>
            </w:r>
          </w:p>
        </w:tc>
        <w:tc>
          <w:tcPr>
            <w:tcW w:type="dxa" w:w="34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Production validation, post-release monitoring (scope-limited)</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Cross-Phase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3</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w:t>
            </w:r>
          </w:p>
        </w:tc>
        <w:tc>
          <w:tcPr>
            <w:tcW w:type="dxa" w:w="34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Agent Health, FCA Audit, Incident Response</w:t>
            </w:r>
          </w:p>
        </w:tc>
      </w:tr>
      <w:tr>
        <w:tc>
          <w:tcPr>
            <w:tcW w:type="dxa" w:w="3000"/>
            <w:tcBorders>
              <w:top w:val="single" w:color="B0B0B0" w:sz="6"/>
              <w:left w:val="single" w:color="B0B0B0" w:sz="6"/>
              <w:bottom w:val="single" w:color="B0B0B0" w:sz="6"/>
              <w:right w:val="single" w:color="B0B0B0" w:sz="6"/>
            </w:tcBorders>
            <w:shd w:fill="F2F2F2" w:val="clear"/>
            <w:tcMar>
              <w:top w:type="dxa" w:w="100"/>
              <w:left w:type="dxa" w:w="140"/>
              <w:bottom w:type="dxa" w:w="100"/>
              <w:right w:type="dxa" w:w="140"/>
            </w:tcMar>
          </w:tcPr>
          <w:p>
            <w:pPr>
              <w:spacing w:after="0"/>
            </w:pPr>
            <w:r>
              <w:rPr>
                <w:b/>
                <w:bCs/>
                <w:sz w:val="20"/>
                <w:szCs w:val="20"/>
              </w:rPr>
              <w:t xml:space="preserve">Total</w:t>
            </w:r>
          </w:p>
        </w:tc>
        <w:tc>
          <w:tcPr>
            <w:tcW w:type="dxa" w:w="1800"/>
            <w:tcBorders>
              <w:top w:val="single" w:color="B0B0B0" w:sz="6"/>
              <w:left w:val="single" w:color="B0B0B0" w:sz="6"/>
              <w:bottom w:val="single" w:color="B0B0B0" w:sz="6"/>
              <w:right w:val="single" w:color="B0B0B0" w:sz="6"/>
            </w:tcBorders>
            <w:shd w:fill="F2F2F2" w:val="clear"/>
            <w:tcMar>
              <w:top w:type="dxa" w:w="100"/>
              <w:left w:type="dxa" w:w="140"/>
              <w:bottom w:type="dxa" w:w="100"/>
              <w:right w:type="dxa" w:w="140"/>
            </w:tcMar>
          </w:tcPr>
          <w:p>
            <w:pPr>
              <w:spacing w:after="0"/>
            </w:pPr>
            <w:r>
              <w:rPr>
                <w:b/>
                <w:bCs/>
                <w:sz w:val="20"/>
                <w:szCs w:val="20"/>
              </w:rPr>
              <w:t xml:space="preserve">53</w:t>
            </w:r>
          </w:p>
        </w:tc>
        <w:tc>
          <w:tcPr>
            <w:tcW w:type="dxa" w:w="1800"/>
            <w:tcBorders>
              <w:top w:val="single" w:color="B0B0B0" w:sz="6"/>
              <w:left w:val="single" w:color="B0B0B0" w:sz="6"/>
              <w:bottom w:val="single" w:color="B0B0B0" w:sz="6"/>
              <w:right w:val="single" w:color="B0B0B0" w:sz="6"/>
            </w:tcBorders>
            <w:shd w:fill="F2F2F2" w:val="clear"/>
            <w:tcMar>
              <w:top w:type="dxa" w:w="100"/>
              <w:left w:type="dxa" w:w="140"/>
              <w:bottom w:type="dxa" w:w="100"/>
              <w:right w:type="dxa" w:w="140"/>
            </w:tcMar>
          </w:tcPr>
          <w:p>
            <w:pPr>
              <w:spacing w:after="0"/>
            </w:pPr>
            <w:r>
              <w:rPr>
                <w:b/>
                <w:bCs/>
                <w:sz w:val="20"/>
                <w:szCs w:val="20"/>
              </w:rPr>
              <w:t xml:space="preserve">12</w:t>
            </w:r>
          </w:p>
        </w:tc>
        <w:tc>
          <w:tcPr>
            <w:tcW w:type="dxa" w:w="3480"/>
            <w:tcBorders>
              <w:top w:val="single" w:color="B0B0B0" w:sz="6"/>
              <w:left w:val="single" w:color="B0B0B0" w:sz="6"/>
              <w:bottom w:val="single" w:color="B0B0B0" w:sz="6"/>
              <w:right w:val="single" w:color="B0B0B0" w:sz="6"/>
            </w:tcBorders>
            <w:shd w:fill="F2F2F2" w:val="clear"/>
            <w:tcMar>
              <w:top w:type="dxa" w:w="100"/>
              <w:left w:type="dxa" w:w="140"/>
              <w:bottom w:type="dxa" w:w="100"/>
              <w:right w:type="dxa" w:w="140"/>
            </w:tcMar>
          </w:tcPr>
          <w:p>
            <w:pPr>
              <w:spacing w:after="0"/>
            </w:pPr>
            <w:r>
              <w:rPr>
                <w:sz w:val="20"/>
                <w:szCs w:val="20"/>
              </w:rPr>
              <w:t xml:space="preserve"/>
            </w:r>
          </w:p>
        </w:tc>
      </w:tr>
    </w:tbl>
    <w:p>
      <w:pPr>
        <w:pStyle w:val="Heading2"/>
        <w:spacing w:after="160" w:before="280"/>
      </w:pPr>
      <w:r>
        <w:t xml:space="preserve">3.3 The Orchestration Layer</w:t>
      </w:r>
    </w:p>
    <w:p>
      <w:pPr>
        <w:spacing w:after="120" w:before="0"/>
      </w:pPr>
      <w:r>
        <w:t xml:space="preserve">Between the Fleet Commander and the individual agents sits the Orchestration Layer. It owns four responsibilities:</w:t>
      </w:r>
    </w:p>
    <w:p>
      <w:pPr>
        <w:pStyle w:val="ListParagraph"/>
        <w:numPr>
          <w:ilvl w:val="0"/>
          <w:numId w:val="2"/>
        </w:numPr>
        <w:spacing w:after="80"/>
      </w:pPr>
      <w:r>
        <w:rPr>
          <w:b/>
          <w:bCs/>
        </w:rPr>
        <w:t xml:space="preserve">Queue and dispatch</w:t>
      </w:r>
      <w:r>
        <w:t xml:space="preserve"> — agents run in parallel where independent, in sequence where they depend on each other. The three Development gates, for example, are sequenced: AC Compliance → Apex Coverage → Metadata Dependency.</w:t>
      </w:r>
    </w:p>
    <w:p>
      <w:pPr>
        <w:pStyle w:val="ListParagraph"/>
        <w:numPr>
          <w:ilvl w:val="0"/>
          <w:numId w:val="2"/>
        </w:numPr>
        <w:spacing w:after="80"/>
      </w:pPr>
      <w:r>
        <w:rPr>
          <w:b/>
          <w:bCs/>
        </w:rPr>
        <w:t xml:space="preserve">Confidence routing</w:t>
      </w:r>
      <w:r>
        <w:t xml:space="preserve"> — any agent decision below 60 % confidence is escalated to a human reviewer with the full explainability trace attached.</w:t>
      </w:r>
    </w:p>
    <w:p>
      <w:pPr>
        <w:pStyle w:val="ListParagraph"/>
        <w:numPr>
          <w:ilvl w:val="0"/>
          <w:numId w:val="2"/>
        </w:numPr>
        <w:spacing w:after="80"/>
      </w:pPr>
      <w:r>
        <w:rPr>
          <w:b/>
          <w:bCs/>
        </w:rPr>
        <w:t xml:space="preserve">Conflict resolution</w:t>
      </w:r>
      <w:r>
        <w:t xml:space="preserve"> — when two agents disagree (Code Quality says "merge-ready", Security says "block"), the layer applies the conflict matrix in Section 8 to pick the safer call.</w:t>
      </w:r>
    </w:p>
    <w:p>
      <w:pPr>
        <w:pStyle w:val="ListParagraph"/>
        <w:numPr>
          <w:ilvl w:val="0"/>
          <w:numId w:val="2"/>
        </w:numPr>
        <w:spacing w:after="80"/>
      </w:pPr>
      <w:r>
        <w:rPr>
          <w:b/>
          <w:bCs/>
        </w:rPr>
        <w:t xml:space="preserve">Audit emission</w:t>
      </w:r>
      <w:r>
        <w:t xml:space="preserve"> — every decision is emitted to the Quality Data Store and forwarded to the FCA Regulatory Audit Agent.</w:t>
      </w:r>
    </w:p>
    <w:p>
      <w:pPr>
        <w:pStyle w:val="Heading2"/>
        <w:spacing w:after="160" w:before="280"/>
      </w:pPr>
      <w:r>
        <w:t xml:space="preserve">3.4 The Quality Data Store</w:t>
      </w:r>
    </w:p>
    <w:p>
      <w:pPr>
        <w:spacing w:after="120" w:before="0"/>
      </w:pPr>
      <w:r>
        <w:t xml:space="preserve">Jira is demoted from system-of-record to one input among many. The Quality Data Store is the single source of truth for QE state: which stories are in which phase, which gates are open or closed, which agents have run, which defects are live, what confidence each decision carried, and what evidence supports it. Jira receives defects as a downstream consumer; it does not drive the framework.</w:t>
      </w:r>
    </w:p>
    <w:p>
      <w:pPr>
        <w:pStyle w:val="Heading2"/>
        <w:spacing w:after="160" w:before="280"/>
      </w:pPr>
      <w:r>
        <w:t xml:space="preserve">3.5 The Learning Repository</w:t>
      </w:r>
    </w:p>
    <w:p>
      <w:pPr>
        <w:spacing w:after="120" w:before="0"/>
      </w:pPr>
      <w:r>
        <w:t xml:space="preserve">Every agent decision, every gate firing, every CRT self-healing event and every Compliance Officer override is written to the Learning Repository. Over time, this is what calibrates the agents. A Severity-Calibration Agent runs weekly against the repository and adjusts agent thresholds — but never silently. Every threshold change is itself a decision logged with what/why/data/confidence, reviewed by a human QE Lead before it takes effect.</w:t>
      </w:r>
    </w:p>
    <w:p>
      <w:r>
        <w:br w:type="page"/>
      </w:r>
    </w:p>
    <w:p>
      <w:pPr>
        <w:pStyle w:val="Heading1"/>
        <w:spacing w:after="200" w:before="360"/>
      </w:pPr>
      <w:r>
        <w:t xml:space="preserve">4. The Fifty-Three Agents</w:t>
      </w:r>
    </w:p>
    <w:p>
      <w:pPr>
        <w:spacing w:after="120" w:before="0"/>
      </w:pPr>
      <w:r>
        <w:t xml:space="preserve">This section is the definitive catalogue. Each agent is named, scoped, and tagged with its PACT character — which of the four principles it most embodies. The PACT tags are not exclusive; every agent should be at least somewhat Collaborative, but the tag identifies its centre of gravity.</w:t>
      </w:r>
    </w:p>
    <w:p>
      <w:pPr>
        <w:pStyle w:val="Heading2"/>
        <w:spacing w:after="160" w:before="280"/>
      </w:pPr>
      <w:r>
        <w:t xml:space="preserve">4.1 Refinement Phase — 9 Agents, 1 Hard Gate</w:t>
      </w:r>
    </w:p>
    <w:p>
      <w:pPr>
        <w:spacing w:after="120" w:before="0"/>
      </w:pPr>
      <w:r>
        <w:t xml:space="preserve">Refinement is where Proactive agents earn their keep. By the time a story is INVEST-clean and FCA-classified, the cost of a downstream defect has been collapsed by an order of magnitude.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5280"/>
      </w:tblGrid>
      <w:tr>
        <w:trPr>
          <w:tblHeader/>
        </w:trPr>
        <w:tc>
          <w:tcPr>
            <w:tcW w:type="dxa" w:w="6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w:t>
            </w:r>
          </w:p>
        </w:tc>
        <w:tc>
          <w:tcPr>
            <w:tcW w:type="dxa" w:w="2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w:t>
            </w:r>
          </w:p>
        </w:tc>
        <w:tc>
          <w:tcPr>
            <w:tcW w:type="dxa" w:w="1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PACT</w:t>
            </w:r>
          </w:p>
        </w:tc>
        <w:tc>
          <w:tcPr>
            <w:tcW w:type="dxa" w:w="52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Scope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Story Intent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Parses Jira story text, extracts goal, persona, FSC object scope. Flags missing AC.</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INVEST Quality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Scores Independent/Negotiable/Valuable/Estimable/Small/Testable. Drives Gate G1.</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FCA Compliance Classifier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Classifies HIGH / MEDIUM / LOW FCA impact (Suitability, Appropriateness, Risk, Vulnerable Customers, Consumer Duty).</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Consumer Duty Mapping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Maps story to the four Consumer Duty outcomes — products, price/value, understanding, support.</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5</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AC Generator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Suggests Given/When/Then acceptance criteria using FSC vocabulary; PO accepts/edits.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6</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Test Design Strategy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Recommends 60/20/20 pyramid split per story. Flags Apex-heavy or CRT-heavy stories early.</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7</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Data Need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Identifies anonymised production data fixtures needed (FA balances, Goals, Households).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8</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Dependency Mapping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Walks metadata graph; lists impacted profiles, perm sets, validation rules, flows, page layouts.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9</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Risk Anticipation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Composite risk score: regulatory + technical + UX. Feeds G1 and downstream gates.</w:t>
            </w:r>
          </w:p>
        </w:tc>
      </w:tr>
    </w:tbl>
    <w:p>
      <w:pPr>
        <w:spacing w:after="120" w:before="0"/>
      </w:pPr>
      <w:r>
        <w:rPr>
          <w:i/>
          <w:iCs/>
        </w:rPr>
        <w:t xml:space="preserve">Hard Gate G1 — INVEST + FCA Classification: a story may not enter a sprint without an INVEST score ≥ 80 and an FCA classification. HIGH-FCA stories additionally require asynchronous sign-off from a Compliance Officer; the gate stays open until that sign-off lands.</w:t>
      </w:r>
    </w:p>
    <w:p>
      <w:pPr>
        <w:pStyle w:val="Heading2"/>
        <w:spacing w:after="160" w:before="280"/>
      </w:pPr>
      <w:r>
        <w:t xml:space="preserve">4.2 Development Phase — 14 Agents, 3 Hard Gates</w:t>
      </w:r>
    </w:p>
    <w:p>
      <w:pPr>
        <w:spacing w:after="120" w:before="0"/>
      </w:pPr>
      <w:r>
        <w:t xml:space="preserve">Development is where Autonomous agents do the heaviest lifting and where explainability matters most: the artefacts produced here will be reviewed by Compliance Officers and, in the worst case, by FCA inspectors years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5280"/>
      </w:tblGrid>
      <w:tr>
        <w:trPr>
          <w:tblHeader/>
        </w:trPr>
        <w:tc>
          <w:tcPr>
            <w:tcW w:type="dxa" w:w="6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w:t>
            </w:r>
          </w:p>
        </w:tc>
        <w:tc>
          <w:tcPr>
            <w:tcW w:type="dxa" w:w="2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w:t>
            </w:r>
          </w:p>
        </w:tc>
        <w:tc>
          <w:tcPr>
            <w:tcW w:type="dxa" w:w="1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PACT</w:t>
            </w:r>
          </w:p>
        </w:tc>
        <w:tc>
          <w:tcPr>
            <w:tcW w:type="dxa" w:w="52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Scope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10</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AC Compliance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Every commit must trace to at least one AC. Drives Gate G2.</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11</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Apex Test Generator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Generates Apex unit tests with realistic FSC fixtures (Household, FA, Goal, Suitability).</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12</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Apex Coverage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Enforces ≥75 % standard, ≥85 % FSC-critical. Drives Gate G3.</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13</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Metadata Dependency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Walks the metadata graph on every commit; blocks orphan refs and broken FLS. Drives Gate G4.</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14</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Code Quality Agent (Apex)</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Consumes PMD results, augments with FSC-specific patterns (e.g., SOQL in trigger loops on FinancialAccount).</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15</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Apex Security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CRUD/FLS enforcement, sharing keyword checks, SOQL injection, callout authentication.</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16</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Flow Quality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Flow Builder lint: bulkification, fault paths, governor-limit risk on record-triggered flows.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17</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LWC/Aura Quality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Front-end lint: accessibility hints, locker compliance, FLS-aware UI.</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18</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Permission Model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Tracks profile/perm-set drift; flags risky grants on Suitability and Vulnerable Customer fields.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19</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BDD Gherkin Writer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Drafts Gherkin scenarios from AC; developer and QE refine.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20</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Cross-Type Consistency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Compares Apex behaviour to Flow behaviour for the same business rule. Assistive only — not a gate.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21</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Test Data Architect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Builds anonymised fixtures honouring household relationships and FA roll-ups.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22</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Sandbox State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Verifies dev sandbox is clean and refreshed; quarantines polluted sandboxes.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23</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Story-to-Code Trace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Maps commit → AC → story → FCA classification. Feeds the audit trail.</w:t>
            </w:r>
          </w:p>
        </w:tc>
      </w:tr>
    </w:tbl>
    <w:p>
      <w:pPr>
        <w:spacing w:after="120" w:before="0"/>
      </w:pPr>
      <w:r>
        <w:rPr>
          <w:i/>
          <w:iCs/>
        </w:rPr>
        <w:t xml:space="preserve">Hard Gates G2–G4 are sequenced and must clear in order: G2 AC Compliance → G3 Apex Coverage → G4 Metadata Dependency. A commit that fails any gate cannot promote out of the developer sandbox.</w:t>
      </w:r>
    </w:p>
    <w:p>
      <w:pPr>
        <w:pStyle w:val="Heading2"/>
        <w:spacing w:after="160" w:before="280"/>
      </w:pPr>
      <w:r>
        <w:t xml:space="preserve">4.3 Testing Phase — 16 Agents, 2 Hard Gates</w:t>
      </w:r>
    </w:p>
    <w:p>
      <w:pPr>
        <w:spacing w:after="120" w:before="0"/>
      </w:pPr>
      <w:r>
        <w:t xml:space="preserve">Testing is where Collaborative agents shine: human UAT, business sign-off and Compliance Officer review weave together with automated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5280"/>
      </w:tblGrid>
      <w:tr>
        <w:trPr>
          <w:tblHeader/>
        </w:trPr>
        <w:tc>
          <w:tcPr>
            <w:tcW w:type="dxa" w:w="6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w:t>
            </w:r>
          </w:p>
        </w:tc>
        <w:tc>
          <w:tcPr>
            <w:tcW w:type="dxa" w:w="2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w:t>
            </w:r>
          </w:p>
        </w:tc>
        <w:tc>
          <w:tcPr>
            <w:tcW w:type="dxa" w:w="1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PACT</w:t>
            </w:r>
          </w:p>
        </w:tc>
        <w:tc>
          <w:tcPr>
            <w:tcW w:type="dxa" w:w="52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Scope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24</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Apex Suite Runner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Runs full Apex suite in QA sandbox after deploy; surfaces flakes.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25</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API Test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Generates and runs REST/Apex REST/Composite API tests; 20 % of the pyramid.</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26</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CRT Scenario Designer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Designs Copado Robotic Test scenarios from Gherkin; 20 % of the pyramid.</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27</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CRT Execution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Runs CRT suite against QA and UAT; manages parallel execution slots.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28</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CRT Self-Heal Reviewer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Reviews every self-healing event; routes ambiguous heals to QE Lead. No silent drift.</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29</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Regression Risk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Selects regression subset by changed metadata; full suite still runs on release candidates.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30</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FCA Scenario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Owns the FCA-critical scenario library: Suitability, Appropriateness, Risk Profile, Vulnerable Customers, Consumer Duty journeys.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31</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Financial Data Integrity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Validates AUM roll-ups, Goal calculations, Household aggregations to the penny.</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32</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Performance Smoke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Page-load and list-view smoke checks; trends against historical baselines.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33</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Accessibility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WCAG 2.1 AA checks on Lightning pages on Consumer Duty journeys.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34</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Localisation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Currency, date and number-format checks for multi-jurisdiction wealth clients.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35</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Defect Triage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Raises Jira defects with full explainability trace; suggests severity; human assigns owner.</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36</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UAT Coordination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Orchestrates business UAT sessions; tracks PO, Business and Compliance Officer sign-offs.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37</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Exploratory Charter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Generates session-based testing charters around the riskiest changes.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38</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Flaky Test Hunter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Detects flaky Apex and CRT tests; auto-quarantines; opens improvement tickets.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39</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Test Evidence Curator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Bundles screenshots, logs and traces into the audit-ready evidence pack.</w:t>
            </w:r>
          </w:p>
        </w:tc>
      </w:tr>
    </w:tbl>
    <w:p>
      <w:pPr>
        <w:spacing w:after="120" w:before="0"/>
      </w:pPr>
      <w:r>
        <w:rPr>
          <w:i/>
          <w:iCs/>
        </w:rPr>
        <w:t xml:space="preserve">Hard Gate G5 — Test Pyramid + FCA Pass-Rate: Apex ≥75 % standard / ≥85 % FSC-critical, API suite green, CRT critical-path green, and 100 % of FCA scenarios passing. Any FCA scenario failure blocks release without exception.</w:t>
      </w:r>
    </w:p>
    <w:p>
      <w:pPr>
        <w:spacing w:after="120" w:before="0"/>
      </w:pPr>
      <w:r>
        <w:rPr>
          <w:i/>
          <w:iCs/>
        </w:rPr>
        <w:t xml:space="preserve">Hard Gate G6 — UAT Sign-off: PO + Business sign-offs are mandatory for all stories; Compliance Officer sign-off is additionally mandatory for HIGH-FCA stories. Sign-offs are captured in the Quality Data Store with timestamps and identities for the 7-year audit trail.</w:t>
      </w:r>
    </w:p>
    <w:p>
      <w:pPr>
        <w:pStyle w:val="Heading2"/>
        <w:spacing w:after="160" w:before="280"/>
      </w:pPr>
      <w:r>
        <w:t xml:space="preserve">4.4 Release Phase — 11 Agents, 6 Hard Gates</w:t>
      </w:r>
    </w:p>
    <w:p>
      <w:pPr>
        <w:spacing w:after="120" w:before="0"/>
      </w:pPr>
      <w:r>
        <w:t xml:space="preserve">Release in a regulated FSC environment is not a button-push. Six hard gates protect production. Targeted agents narrow scope to what actually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5280"/>
      </w:tblGrid>
      <w:tr>
        <w:trPr>
          <w:tblHeader/>
        </w:trPr>
        <w:tc>
          <w:tcPr>
            <w:tcW w:type="dxa" w:w="6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w:t>
            </w:r>
          </w:p>
        </w:tc>
        <w:tc>
          <w:tcPr>
            <w:tcW w:type="dxa" w:w="2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w:t>
            </w:r>
          </w:p>
        </w:tc>
        <w:tc>
          <w:tcPr>
            <w:tcW w:type="dxa" w:w="1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PACT</w:t>
            </w:r>
          </w:p>
        </w:tc>
        <w:tc>
          <w:tcPr>
            <w:tcW w:type="dxa" w:w="52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Scope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40</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 Composer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Assembles the Copado release package from green stories; produces release notes.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41</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Change Set Integrity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Verifies package contents match committed metadata; no surprises. Drives Gate G7.</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42</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Deployment Dry-Run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Validation deploy to staging; surfaces destructive-change risks. Drives Gate G8.</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43</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Smoke-on-Staging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Critical-path smoke suite on UAT immediately post-deploy. Drives Gate G9.</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44</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FCA Evidence Pack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Bundles every artefact a Compliance Officer or auditor would ask for. Drives Gate G10.</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45</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Go/No-Go Coordinator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Convenes humans for the go/no-go call; records decision and rationale. Drives Gate G11.</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46</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Production Validation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Post-deploy validation in Production — limited to the changes in this release. Drives Gate G12.</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47</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 Notes Writer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Generates plain-English notes for advisers and Compliance.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48</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Rollback Readiness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Confirms the rollback plan exists, is rehearsed where viable, and is approved. (Deferred capability — see §10.)</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49</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Post-Release Monitor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Proactive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Watches Production for anomalies for the 72 h post-release window. (Deferred capability — see §10.)</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50</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 Retrospective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Generates a draft retro from agent traces and gate outcomes; humans add the human story.</w:t>
            </w:r>
          </w:p>
        </w:tc>
      </w:tr>
    </w:tbl>
    <w:p>
      <w:pPr>
        <w:spacing w:after="120" w:before="0"/>
      </w:pPr>
      <w:r>
        <w:rPr>
          <w:i/>
          <w:iCs/>
        </w:rPr>
        <w:t xml:space="preserve">Hard Gates G7–G12: Change Set Integrity → Deployment Dry-Run → Smoke-on-Staging → FCA Evidence Pack → Go/No-Go → Production Validation. Each gate is owned by an agent, signed off by a named human role, and recorded.</w:t>
      </w:r>
    </w:p>
    <w:p>
      <w:pPr>
        <w:pStyle w:val="Heading2"/>
        <w:spacing w:after="160" w:before="280"/>
      </w:pPr>
      <w:r>
        <w:t xml:space="preserve">4.5 Cross-Phase — 3 Agents</w:t>
      </w:r>
    </w:p>
    <w:p>
      <w:pPr>
        <w:spacing w:after="120" w:before="0"/>
      </w:pPr>
      <w:r>
        <w:t xml:space="preserve">Three agents do not belong to a phase. They run continuously and watch the framework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5280"/>
      </w:tblGrid>
      <w:tr>
        <w:trPr>
          <w:tblHeader/>
        </w:trPr>
        <w:tc>
          <w:tcPr>
            <w:tcW w:type="dxa" w:w="6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w:t>
            </w:r>
          </w:p>
        </w:tc>
        <w:tc>
          <w:tcPr>
            <w:tcW w:type="dxa" w:w="2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w:t>
            </w:r>
          </w:p>
        </w:tc>
        <w:tc>
          <w:tcPr>
            <w:tcW w:type="dxa" w:w="1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PACT</w:t>
            </w:r>
          </w:p>
        </w:tc>
        <w:tc>
          <w:tcPr>
            <w:tcW w:type="dxa" w:w="52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Scope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51</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Agent Health Monitor</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Autonomous</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Watches the fleet itself: latency, confidence drift, false-positive rate, hung agents. Raises alerts.</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52</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FCA Regulatory Audit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Targeted</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Retains every decision, every gate firing, every sign-off for 7 years (exceeds the FCA 5-year minimum).</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53</w:t>
            </w:r>
          </w:p>
        </w:tc>
        <w:tc>
          <w:tcPr>
            <w:tcW w:type="dxa" w:w="2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Incident Response Agent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Collaborative</w:t>
            </w:r>
          </w:p>
        </w:tc>
        <w:tc>
          <w:tcPr>
            <w:tcW w:type="dxa" w:w="5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Activates on Production incident; bundles the relevant agent traces and recent decisions for the incident review.</w:t>
            </w:r>
          </w:p>
        </w:tc>
      </w:tr>
    </w:tbl>
    <w:p>
      <w:r>
        <w:br w:type="page"/>
      </w:r>
    </w:p>
    <w:p>
      <w:pPr>
        <w:pStyle w:val="Heading1"/>
        <w:spacing w:after="200" w:before="360"/>
      </w:pPr>
      <w:r>
        <w:t xml:space="preserve">5. The Twelve Hard Gates</w:t>
      </w:r>
    </w:p>
    <w:p>
      <w:pPr>
        <w:spacing w:after="120" w:before="0"/>
      </w:pPr>
      <w:r>
        <w:t xml:space="preserve">A hard gate is a non-negotiable. The Fleet Commander does not allow a story or release candidate to progress while a hard gate is failing. There are no automatic exemptions; a named QE Lead must explicitly waive a gate, and every waiver is itself an audit event with what/why/data/confidence and a Compliance Officer counter-sign for HIGH-FCA waivers.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5880"/>
      </w:tblGrid>
      <w:tr>
        <w:trPr>
          <w:tblHeader/>
        </w:trPr>
        <w:tc>
          <w:tcPr>
            <w:tcW w:type="dxa" w:w="6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Gate</w:t>
            </w:r>
          </w:p>
        </w:tc>
        <w:tc>
          <w:tcPr>
            <w:tcW w:type="dxa" w:w="22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Name</w:t>
            </w:r>
          </w:p>
        </w:tc>
        <w:tc>
          <w:tcPr>
            <w:tcW w:type="dxa" w:w="1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Phase</w:t>
            </w:r>
          </w:p>
        </w:tc>
        <w:tc>
          <w:tcPr>
            <w:tcW w:type="dxa" w:w="58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Blocks If</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G1</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INVEST + FCA Classification</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Refinement</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INVEST score &lt;80, missing FCA classification, missing Compliance Officer sign-off on HIGH-FCA</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G2</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AC Compliance</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Development</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Any commit cannot be traced to an AC</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G3</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Apex Coverage</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Development</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Coverage &lt;75 % standard or &lt;85 % FSC-critical</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G4</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Metadata Dependency</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Development</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Orphan metadata, broken FLS, profile/perm-set incoherence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G5</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Test Pyramid + FCA Pass-Rate</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Testing</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Any FCA scenario failing, any Financial Data Integrity scenario failing, pyramid green-rate &lt;100 % on critical path</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G6</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UAT Sign-off</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Testing</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Missing PO or Business sign-off; missing Compliance Officer sign-off on HIGH-FCA</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G7</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Change Set Integrity</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Package contents do not match committed metadata</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G8</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Deployment Dry-Run</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Validation deploy fails or surfaces destructive changes without approval</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G9</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Smoke-on-Staging</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Any critical-path smoke scenario fails post-deploy on UAT</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G10</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FCA Evidence Pack</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Evidence pack incomplete; any HIGH-FCA story without full trace</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G11</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Go/No-Go</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No-Go decision, or quorum not met (QE Lead, Tech Lead, PO, Compliance Officer for HIGH-FCA)</w:t>
            </w:r>
          </w:p>
        </w:tc>
      </w:tr>
      <w:tr>
        <w:tc>
          <w:tcPr>
            <w:tcW w:type="dxa" w:w="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G12</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Production Validation</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Release</w:t>
            </w:r>
          </w:p>
        </w:tc>
        <w:tc>
          <w:tcPr>
            <w:tcW w:type="dxa" w:w="58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Any change-scoped Production validation fails</w:t>
            </w:r>
          </w:p>
        </w:tc>
      </w:tr>
    </w:tbl>
    <w:p>
      <w:r>
        <w:br w:type="page"/>
      </w:r>
    </w:p>
    <w:p>
      <w:pPr>
        <w:pStyle w:val="Heading1"/>
        <w:spacing w:after="200" w:before="360"/>
      </w:pPr>
      <w:r>
        <w:t xml:space="preserve">6. The Test Pyramid — 60 / 20 / 20</w:t>
      </w:r>
    </w:p>
    <w:p>
      <w:pPr>
        <w:spacing w:after="120" w:before="0"/>
      </w:pPr>
      <w:r>
        <w:t xml:space="preserve">The pyramid is opinionated and tuned for an FSC org under Copado Standard CI/CD with CRT.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rPr>
          <w:tblHeader/>
        </w:trPr>
        <w:tc>
          <w:tcPr>
            <w:tcW w:type="dxa" w:w="2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Layer</w:t>
            </w:r>
          </w:p>
        </w:tc>
        <w:tc>
          <w:tcPr>
            <w:tcW w:type="dxa" w:w="14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Share</w:t>
            </w:r>
          </w:p>
        </w:tc>
        <w:tc>
          <w:tcPr>
            <w:tcW w:type="dxa" w:w="62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Rationale</w:t>
            </w:r>
          </w:p>
        </w:tc>
      </w:tr>
      <w:tr>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Apex unit tests</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60 %</w:t>
            </w:r>
          </w:p>
        </w:tc>
        <w:tc>
          <w:tcPr>
            <w:tcW w:type="dxa" w:w="6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Fastest feedback, deterministic, mandatory for deployment. Targeted to ≥85 % on FSC-critical classes (Suitability, Risk Profile, FA roll-ups).</w:t>
            </w:r>
          </w:p>
        </w:tc>
      </w:tr>
      <w:tr>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API tests</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20 %</w:t>
            </w:r>
          </w:p>
        </w:tc>
        <w:tc>
          <w:tcPr>
            <w:tcW w:type="dxa" w:w="6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REST / Apex REST / Composite. Catches integration regressions without the cost of UI. Stable across UI refactors.</w:t>
            </w:r>
          </w:p>
        </w:tc>
      </w:tr>
      <w:tr>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Copado Robotic Test (CRT)</w:t>
            </w:r>
          </w:p>
        </w:tc>
        <w:tc>
          <w:tcPr>
            <w:tcW w:type="dxa" w:w="1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20 %</w:t>
            </w:r>
          </w:p>
        </w:tc>
        <w:tc>
          <w:tcPr>
            <w:tcW w:type="dxa" w:w="6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End-to-end through the Lightning UI. Self-healing reduces maintenance but every heal is reviewed (no silent drift).</w:t>
            </w:r>
          </w:p>
        </w:tc>
      </w:tr>
    </w:tbl>
    <w:p>
      <w:pPr>
        <w:spacing w:after="120" w:before="0"/>
      </w:pPr>
      <w:r>
        <w:t xml:space="preserve">Why not more CRT? Because CRT is the most expensive layer to maintain even with self-healing, and because Salesforce metadata changes break UI tests faster than any other class. Twenty percent buys end-to-end confidence; more than that buys maintenance debt.</w:t>
      </w:r>
    </w:p>
    <w:p>
      <w:pPr>
        <w:spacing w:after="120" w:before="0"/>
      </w:pPr>
      <w:r>
        <w:t xml:space="preserve">Why not less Apex? Because Apex is where Salesforce deployment validates coverage at the platform level. Below 75 % the deployment fails outright; below 85 % on FSC-critical classes the framework fails before Salesforce does.</w:t>
      </w:r>
    </w:p>
    <w:p>
      <w:r>
        <w:br w:type="page"/>
      </w:r>
    </w:p>
    <w:p>
      <w:pPr>
        <w:pStyle w:val="Heading1"/>
        <w:spacing w:after="200" w:before="360"/>
      </w:pPr>
      <w:r>
        <w:t xml:space="preserve">7. Explainability — The What / Why / Data / Confidence Trace</w:t>
      </w:r>
    </w:p>
    <w:p>
      <w:pPr>
        <w:spacing w:after="120" w:before="0"/>
      </w:pPr>
      <w:r>
        <w:t xml:space="preserve">Every agent decision in this framework — every gate firing, every defect raised, every CRT self-heal accepted, every threshold change — is logged as a four-field trace. This is the artefact that makes Autonomy safe in a regulated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Field</w:t>
            </w:r>
          </w:p>
        </w:tc>
        <w:tc>
          <w:tcPr>
            <w:tcW w:type="dxa" w:w="82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Meaning and Example</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What</w:t>
            </w:r>
          </w:p>
        </w:tc>
        <w:tc>
          <w:tcPr>
            <w:tcW w:type="dxa" w:w="8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The action the agent took. "Blocked release FSC-2026-05 at Gate G10 — FCA Evidence Pack."</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Why</w:t>
            </w:r>
          </w:p>
        </w:tc>
        <w:tc>
          <w:tcPr>
            <w:tcW w:type="dxa" w:w="8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The rule that triggered the action. "Story FSC-2417 is HIGH-FCA (Suitability) and lacks Compliance Officer counter-sign in the evidence bundle."</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Data</w:t>
            </w:r>
          </w:p>
        </w:tc>
        <w:tc>
          <w:tcPr>
            <w:tcW w:type="dxa" w:w="8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The evidence. Pointers to: FSC-2417 audit row in QDS, Compliance Officer sign-off log (empty for this story), the FCA classification record, the bundled evidence manifest.</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b/>
                <w:bCs/>
                <w:sz w:val="20"/>
                <w:szCs w:val="20"/>
              </w:rPr>
              <w:t xml:space="preserve">Confidence</w:t>
            </w:r>
          </w:p>
        </w:tc>
        <w:tc>
          <w:tcPr>
            <w:tcW w:type="dxa" w:w="82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 0–100 score. "98 — deterministic rule (missing counter-sign is a binary check)." Below 60 the agent must escalate to a human reviewer instead of acting.</w:t>
            </w:r>
          </w:p>
        </w:tc>
      </w:tr>
    </w:tbl>
    <w:p>
      <w:pPr>
        <w:spacing w:after="120" w:before="0"/>
      </w:pPr>
      <w:r>
        <w:t xml:space="preserve">Calibration of the Confidence score is the single hardest engineering problem in this framework. The Severity-Calibration Agent runs weekly against the Learning Repository, looks for over-flagging and under-flagging patterns, and proposes threshold changes. Threshold changes are not silent: every change is itself a decision logged with what/why/data/confidence, reviewed by the QE Lead before activation.</w:t>
      </w:r>
    </w:p>
    <w:p>
      <w:pPr>
        <w:pBdr>
          <w:left w:val="single" w:color="2E75B6" w:sz="24" w:space="12"/>
        </w:pBdr>
        <w:spacing w:after="160" w:before="160"/>
        <w:ind w:left="720" w:right="720"/>
      </w:pPr>
      <w:r>
        <w:rPr>
          <w:i/>
          <w:iCs/>
          <w:color w:val="404040"/>
        </w:rPr>
        <w:t xml:space="preserve">Autonomy without explainability is hope disguised as automation. In wealth management, hope is not a control.</w:t>
      </w:r>
    </w:p>
    <w:p>
      <w:r>
        <w:br w:type="page"/>
      </w:r>
    </w:p>
    <w:p>
      <w:pPr>
        <w:pStyle w:val="Heading1"/>
        <w:spacing w:after="200" w:before="360"/>
      </w:pPr>
      <w:r>
        <w:t xml:space="preserve">8. When Agents Disagree — The Conflict Matrix</w:t>
      </w:r>
    </w:p>
    <w:p>
      <w:pPr>
        <w:spacing w:after="120" w:before="0"/>
      </w:pPr>
      <w:r>
        <w:t xml:space="preserve">Agents will disagree. The Cross-Type Consistency Agent will say a Flow and an Apex trigger implement the same rule differently. The Code Quality Agent will say a class is merge-ready while the Apex Security Agent says block. The Orchestration Layer applies a fixed conflict matrix; it does not vote, and it does not average.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 A says</w:t>
            </w:r>
          </w:p>
        </w:tc>
        <w:tc>
          <w:tcPr>
            <w:tcW w:type="dxa" w:w="300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Agent B says</w:t>
            </w:r>
          </w:p>
        </w:tc>
        <w:tc>
          <w:tcPr>
            <w:tcW w:type="dxa" w:w="4080"/>
            <w:tcBorders>
              <w:top w:val="single" w:color="B0B0B0" w:sz="6"/>
              <w:left w:val="single" w:color="B0B0B0" w:sz="6"/>
              <w:bottom w:val="single" w:color="B0B0B0" w:sz="6"/>
              <w:right w:val="single" w:color="B0B0B0" w:sz="6"/>
            </w:tcBorders>
            <w:shd w:fill="2E75B6" w:val="clear"/>
            <w:tcMar>
              <w:top w:type="dxa" w:w="100"/>
              <w:left w:type="dxa" w:w="140"/>
              <w:bottom w:type="dxa" w:w="100"/>
              <w:right w:type="dxa" w:w="140"/>
            </w:tcMar>
          </w:tcPr>
          <w:p>
            <w:pPr>
              <w:spacing w:after="0"/>
            </w:pPr>
            <w:r>
              <w:rPr>
                <w:b/>
                <w:bCs/>
                <w:color w:val="FFFFFF"/>
                <w:sz w:val="20"/>
                <w:szCs w:val="20"/>
              </w:rPr>
              <w:t xml:space="preserve">Resolution</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Code Quality: merge-ready</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Security: block</w:t>
            </w:r>
          </w:p>
        </w:tc>
        <w:tc>
          <w:tcPr>
            <w:tcW w:type="dxa" w:w="40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Security wins. Block. Human review on the security finding.</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Apex Coverage: 86 % (pass)</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FCA Scenario: any failure</w:t>
            </w:r>
          </w:p>
        </w:tc>
        <w:tc>
          <w:tcPr>
            <w:tcW w:type="dxa" w:w="40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FCA wins. Block. No release.</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Cross-Type Consistency: divergence</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All other agents: green</w:t>
            </w:r>
          </w:p>
        </w:tc>
        <w:tc>
          <w:tcPr>
            <w:tcW w:type="dxa" w:w="40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Cross-Type is assistive only. Surface as Jira note; do not block.</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Metadata Dependency: orphan</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Deployment Dry-Run: green</w:t>
            </w:r>
          </w:p>
        </w:tc>
        <w:tc>
          <w:tcPr>
            <w:tcW w:type="dxa" w:w="40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Metadata wins. Block. Orphan must be resolved or explicitly removed.</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UAT Sign-off: PO approved</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Compliance Officer: not signed (HIGH-FCA)</w:t>
            </w:r>
          </w:p>
        </w:tc>
        <w:tc>
          <w:tcPr>
            <w:tcW w:type="dxa" w:w="40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Compliance wins. Block.</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Two agents, both confidence &lt;60</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w:t>
            </w:r>
          </w:p>
        </w:tc>
        <w:tc>
          <w:tcPr>
            <w:tcW w:type="dxa" w:w="408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spacing w:after="0"/>
            </w:pPr>
            <w:r>
              <w:rPr>
                <w:sz w:val="20"/>
                <w:szCs w:val="20"/>
              </w:rPr>
              <w:t xml:space="preserve">Neither acts. Escalate to QE Lead with both traces.</w:t>
            </w:r>
          </w:p>
        </w:tc>
      </w:tr>
    </w:tbl>
    <w:p>
      <w:pPr>
        <w:spacing w:after="120" w:before="0"/>
      </w:pPr>
      <w:r>
        <w:t xml:space="preserve">Principle: when in doubt, the safer call wins. The conflict matrix encodes "safer" once, in writing, instead of relitigating it under release-day pressure.</w:t>
      </w:r>
    </w:p>
    <w:p>
      <w:r>
        <w:br w:type="page"/>
      </w:r>
    </w:p>
    <w:p>
      <w:pPr>
        <w:pStyle w:val="Heading1"/>
        <w:spacing w:after="200" w:before="360"/>
      </w:pPr>
      <w:r>
        <w:t xml:space="preserve">9. Integration With the FSC Toolchain</w:t>
      </w:r>
    </w:p>
    <w:p>
      <w:pPr>
        <w:pStyle w:val="Heading2"/>
        <w:spacing w:after="160" w:before="280"/>
      </w:pPr>
      <w:r>
        <w:t xml:space="preserve">9.1 Copado Standard CI/CD</w:t>
      </w:r>
    </w:p>
    <w:p>
      <w:pPr>
        <w:spacing w:after="120" w:before="0"/>
      </w:pPr>
      <w:r>
        <w:t xml:space="preserve">Copado is the spine of the deployment chain: Dev sandbox per developer → QA → UAT → Production. The framework integrates at four points:</w:t>
      </w:r>
    </w:p>
    <w:p>
      <w:pPr>
        <w:pStyle w:val="ListParagraph"/>
        <w:numPr>
          <w:ilvl w:val="0"/>
          <w:numId w:val="2"/>
        </w:numPr>
        <w:spacing w:after="80"/>
      </w:pPr>
      <w:r>
        <w:t xml:space="preserve">Pre-promotion hooks: gates G2–G4 fire before Copado allows a commit to promote out of the dev sandbox.</w:t>
      </w:r>
    </w:p>
    <w:p>
      <w:pPr>
        <w:pStyle w:val="ListParagraph"/>
        <w:numPr>
          <w:ilvl w:val="0"/>
          <w:numId w:val="2"/>
        </w:numPr>
        <w:spacing w:after="80"/>
      </w:pPr>
      <w:r>
        <w:t xml:space="preserve">Pre-deploy validation: gates G7–G8 fire as Copado validation deploys.</w:t>
      </w:r>
    </w:p>
    <w:p>
      <w:pPr>
        <w:pStyle w:val="ListParagraph"/>
        <w:numPr>
          <w:ilvl w:val="0"/>
          <w:numId w:val="2"/>
        </w:numPr>
        <w:spacing w:after="80"/>
      </w:pPr>
      <w:r>
        <w:t xml:space="preserve">Post-deploy smoke: gate G9 runs after Copado deploy to UAT.</w:t>
      </w:r>
    </w:p>
    <w:p>
      <w:pPr>
        <w:pStyle w:val="ListParagraph"/>
        <w:numPr>
          <w:ilvl w:val="0"/>
          <w:numId w:val="2"/>
        </w:numPr>
        <w:spacing w:after="80"/>
      </w:pPr>
      <w:r>
        <w:t xml:space="preserve">Promotion blocking: any failing hard gate halts Copado promotion; no override without an audited waiver.</w:t>
      </w:r>
    </w:p>
    <w:p>
      <w:pPr>
        <w:pStyle w:val="Heading2"/>
        <w:spacing w:after="160" w:before="280"/>
      </w:pPr>
      <w:r>
        <w:t xml:space="preserve">9.2 Copado Robotic Testing (CRT)</w:t>
      </w:r>
    </w:p>
    <w:p>
      <w:pPr>
        <w:spacing w:after="120" w:before="0"/>
      </w:pPr>
      <w:r>
        <w:t xml:space="preserve">CRT owns the 20 % UI layer of the pyramid. The framework treats CRT as a partner, not a black box:</w:t>
      </w:r>
    </w:p>
    <w:p>
      <w:pPr>
        <w:pStyle w:val="ListParagraph"/>
        <w:numPr>
          <w:ilvl w:val="0"/>
          <w:numId w:val="2"/>
        </w:numPr>
        <w:spacing w:after="80"/>
      </w:pPr>
      <w:r>
        <w:t xml:space="preserve">Scenarios are authored in Gherkin by the CRT Scenario Designer (Agent 26) and reviewed by QE.</w:t>
      </w:r>
    </w:p>
    <w:p>
      <w:pPr>
        <w:pStyle w:val="ListParagraph"/>
        <w:numPr>
          <w:ilvl w:val="0"/>
          <w:numId w:val="2"/>
        </w:numPr>
        <w:spacing w:after="80"/>
      </w:pPr>
      <w:r>
        <w:t xml:space="preserve">Execution runs in parallel slots managed by the CRT Execution Agent (Agent 27).</w:t>
      </w:r>
    </w:p>
    <w:p>
      <w:pPr>
        <w:pStyle w:val="ListParagraph"/>
        <w:numPr>
          <w:ilvl w:val="0"/>
          <w:numId w:val="2"/>
        </w:numPr>
        <w:spacing w:after="80"/>
      </w:pPr>
      <w:r>
        <w:t xml:space="preserve">Self-healing events are not silent: the CRT Self-Heal Reviewer (Agent 28) routes every heal to the QE Lead with a diff. This is non-negotiable in a regulated context.</w:t>
      </w:r>
    </w:p>
    <w:p>
      <w:pPr>
        <w:pStyle w:val="Heading2"/>
        <w:spacing w:after="160" w:before="280"/>
      </w:pPr>
      <w:r>
        <w:t xml:space="preserve">9.3 PMD — Consume + Augment</w:t>
      </w:r>
    </w:p>
    <w:p>
      <w:pPr>
        <w:spacing w:after="120" w:before="0"/>
      </w:pPr>
      <w:r>
        <w:t xml:space="preserve">PMD already runs in the Copado pipeline. The Code Quality Agent (14) and Apex Security Agent (15) consume PMD output and augment it with FSC-specific patterns that PMD does not know about: SOQL inside trigger loops on FinancialAccount, sharing-keyword omissions on Suitability handlers, FLS-unsafe DML on Vulnerable Customer fields, and so on. We do not replicate PMD's catalogue; we extend it.</w:t>
      </w:r>
    </w:p>
    <w:p>
      <w:pPr>
        <w:pStyle w:val="Heading2"/>
        <w:spacing w:after="160" w:before="280"/>
      </w:pPr>
      <w:r>
        <w:t xml:space="preserve">9.4 Jira</w:t>
      </w:r>
    </w:p>
    <w:p>
      <w:pPr>
        <w:spacing w:after="120" w:before="0"/>
      </w:pPr>
      <w:r>
        <w:t xml:space="preserve">Jira is an input (stories, ACs) and an output (defects). It is not the system of record for QE state. The Quality Data Store is. Defect Triage Agent (35) raises Jira issues with the full explainability trace embedded as a structured comment, so a Compliance Officer can audit from Jira if they prefer.</w:t>
      </w:r>
    </w:p>
    <w:p>
      <w:pPr>
        <w:pStyle w:val="Heading2"/>
        <w:spacing w:after="160" w:before="280"/>
      </w:pPr>
      <w:r>
        <w:t xml:space="preserve">9.5 SSO and Identity</w:t>
      </w:r>
    </w:p>
    <w:p>
      <w:pPr>
        <w:spacing w:after="120" w:before="0"/>
      </w:pPr>
      <w:r>
        <w:t xml:space="preserve">Every sign-off — PO, Business, Compliance Officer — is captured through SSO with timestamped, attributable identity. No shared accounts. No "on behalf of". An auditor in year five must be able to point at a name.</w:t>
      </w:r>
    </w:p>
    <w:p>
      <w:pPr>
        <w:pStyle w:val="Heading2"/>
        <w:spacing w:after="160" w:before="280"/>
      </w:pPr>
      <w:r>
        <w:t xml:space="preserve">9.6 Anonymised Production Data</w:t>
      </w:r>
    </w:p>
    <w:p>
      <w:pPr>
        <w:spacing w:after="120" w:before="0"/>
      </w:pPr>
      <w:r>
        <w:t xml:space="preserve">The monthly anonymised refresh into the lower environments is a critical asset. The Test Data Architect (21) builds fixtures honouring real Household relationships, FA roll-ups and Goal calculations. The Data Need Agent (7) requests specific fixture archetypes during Refinement, so they are ready by Development.</w:t>
      </w:r>
    </w:p>
    <w:p>
      <w:r>
        <w:br w:type="page"/>
      </w:r>
    </w:p>
    <w:p>
      <w:pPr>
        <w:pStyle w:val="Heading1"/>
        <w:spacing w:after="200" w:before="360"/>
      </w:pPr>
      <w:r>
        <w:t xml:space="preserve">10. Honest Limitations and Deferred Capabilities</w:t>
      </w:r>
    </w:p>
    <w:p>
      <w:pPr>
        <w:spacing w:after="120" w:before="0"/>
      </w:pPr>
      <w:r>
        <w:t xml:space="preserve">This framework is honest about what does not yet work and about what has been intentionally deferred. Vendors will claim end-to-end magic; this section will not.</w:t>
      </w:r>
    </w:p>
    <w:p>
      <w:pPr>
        <w:pStyle w:val="Heading2"/>
        <w:spacing w:after="160" w:before="280"/>
      </w:pPr>
      <w:r>
        <w:t xml:space="preserve">10.1 What Does Not Yet Work Well</w:t>
      </w:r>
    </w:p>
    <w:p>
      <w:pPr>
        <w:pStyle w:val="ListParagraph"/>
        <w:numPr>
          <w:ilvl w:val="0"/>
          <w:numId w:val="2"/>
        </w:numPr>
        <w:spacing w:after="80"/>
      </w:pPr>
      <w:r>
        <w:rPr>
          <w:b/>
          <w:bCs/>
        </w:rPr>
        <w:t xml:space="preserve">Context understanding of FSC business rules. </w:t>
      </w:r>
      <w:r>
        <w:t xml:space="preserve">Agents struggle with deeply contextual rules — e.g., the difference between "client is a Vulnerable Customer" and "client is a Vulnerable Customer for the purposes of this product line". Calibration via the Learning Repository improves this slowly. Expect over-flagging for the first two release cycles.</w:t>
      </w:r>
    </w:p>
    <w:p>
      <w:pPr>
        <w:pStyle w:val="ListParagraph"/>
        <w:numPr>
          <w:ilvl w:val="0"/>
          <w:numId w:val="2"/>
        </w:numPr>
        <w:spacing w:after="80"/>
      </w:pPr>
      <w:r>
        <w:rPr>
          <w:b/>
          <w:bCs/>
        </w:rPr>
        <w:t xml:space="preserve">Severity calibration on first run. </w:t>
      </w:r>
      <w:r>
        <w:t xml:space="preserve">On day one, the FCA Compliance Classifier (Agent 3) will classify trivial label changes as HIGH-FCA. The QE Lead must override these. The override is the calibration signal.</w:t>
      </w:r>
    </w:p>
    <w:p>
      <w:pPr>
        <w:pStyle w:val="ListParagraph"/>
        <w:numPr>
          <w:ilvl w:val="0"/>
          <w:numId w:val="2"/>
        </w:numPr>
        <w:spacing w:after="80"/>
      </w:pPr>
      <w:r>
        <w:rPr>
          <w:b/>
          <w:bCs/>
        </w:rPr>
        <w:t xml:space="preserve">Cross-Type Consistency precision. </w:t>
      </w:r>
      <w:r>
        <w:t xml:space="preserve">Agent 20 finds many false positives (Flow and Apex doing the same thing in legitimately different ways). It is therefore assistive only — it surfaces, it does not block.</w:t>
      </w:r>
    </w:p>
    <w:p>
      <w:pPr>
        <w:pStyle w:val="ListParagraph"/>
        <w:numPr>
          <w:ilvl w:val="0"/>
          <w:numId w:val="2"/>
        </w:numPr>
        <w:spacing w:after="80"/>
      </w:pPr>
      <w:r>
        <w:rPr>
          <w:b/>
          <w:bCs/>
        </w:rPr>
        <w:t xml:space="preserve">Over-engineering tendency. </w:t>
      </w:r>
      <w:r>
        <w:t xml:space="preserve">Generative agents tend to produce more Apex tests than needed. The Apex Test Generator (Agent 11) emits a coverage-targeted minimum; humans add edge-case tests where domain knowledge requires them.</w:t>
      </w:r>
    </w:p>
    <w:p>
      <w:pPr>
        <w:pStyle w:val="ListParagraph"/>
        <w:numPr>
          <w:ilvl w:val="0"/>
          <w:numId w:val="2"/>
        </w:numPr>
        <w:spacing w:after="80"/>
      </w:pPr>
      <w:r>
        <w:rPr>
          <w:b/>
          <w:bCs/>
        </w:rPr>
        <w:t xml:space="preserve">Model reliability. </w:t>
      </w:r>
      <w:r>
        <w:t xml:space="preserve">Underlying LLM outages cause agents to lose context. The Agent Health Monitor (Agent 51) detects this and the Fleet Commander quarantines affected agents until they recover; gates fail closed rather than open.</w:t>
      </w:r>
    </w:p>
    <w:p>
      <w:pPr>
        <w:pStyle w:val="Heading2"/>
        <w:spacing w:after="160" w:before="280"/>
      </w:pPr>
      <w:r>
        <w:t xml:space="preserve">10.2 Deferred Capabilities (Future Phases)</w:t>
      </w:r>
    </w:p>
    <w:p>
      <w:pPr>
        <w:pStyle w:val="ListParagraph"/>
        <w:numPr>
          <w:ilvl w:val="0"/>
          <w:numId w:val="2"/>
        </w:numPr>
        <w:spacing w:after="80"/>
      </w:pPr>
      <w:r>
        <w:rPr>
          <w:b/>
          <w:bCs/>
        </w:rPr>
        <w:t xml:space="preserve">Production monitoring (Datadog / Sentry / Splunk integration). </w:t>
      </w:r>
      <w:r>
        <w:t xml:space="preserve">Agent 49 (Post-Release Monitor) is scaffolded but not wired. Without a Production telemetry feed, we cannot anticipate Production-only anomalies. Phase 2.</w:t>
      </w:r>
    </w:p>
    <w:p>
      <w:pPr>
        <w:pStyle w:val="ListParagraph"/>
        <w:numPr>
          <w:ilvl w:val="0"/>
          <w:numId w:val="2"/>
        </w:numPr>
        <w:spacing w:after="80"/>
      </w:pPr>
      <w:r>
        <w:rPr>
          <w:b/>
          <w:bCs/>
        </w:rPr>
        <w:t xml:space="preserve">Rollback strategy. </w:t>
      </w:r>
      <w:r>
        <w:t xml:space="preserve">Agent 48 (Rollback Readiness) currently confirms a rollback plan exists; it does not execute or rehearse it. A full rollback orchestration capability is Phase 2.</w:t>
      </w:r>
    </w:p>
    <w:p>
      <w:pPr>
        <w:pStyle w:val="ListParagraph"/>
        <w:numPr>
          <w:ilvl w:val="0"/>
          <w:numId w:val="2"/>
        </w:numPr>
        <w:spacing w:after="80"/>
      </w:pPr>
      <w:r>
        <w:rPr>
          <w:b/>
          <w:bCs/>
        </w:rPr>
        <w:t xml:space="preserve">Mobile testing. </w:t>
      </w:r>
      <w:r>
        <w:t xml:space="preserve">Wealth advisers increasingly work on tablets. The framework currently covers desktop Lightning only. Mobile UI coverage is Phase 3.</w:t>
      </w:r>
    </w:p>
    <w:p>
      <w:pPr>
        <w:pStyle w:val="ListParagraph"/>
        <w:numPr>
          <w:ilvl w:val="0"/>
          <w:numId w:val="2"/>
        </w:numPr>
        <w:spacing w:after="80"/>
      </w:pPr>
      <w:r>
        <w:rPr>
          <w:b/>
          <w:bCs/>
        </w:rPr>
        <w:t xml:space="preserve">External integration testing. </w:t>
      </w:r>
      <w:r>
        <w:t xml:space="preserve">The FSC org is currently standalone. When external integrations are introduced (CRM, custodian feeds, KYC providers), an Integration Contract Agent will be added. Phase 3.</w:t>
      </w:r>
    </w:p>
    <w:p>
      <w:pPr>
        <w:pStyle w:val="Heading2"/>
        <w:spacing w:after="160" w:before="280"/>
      </w:pPr>
      <w:r>
        <w:t xml:space="preserve">10.3 What We Will Not Automate</w:t>
      </w:r>
    </w:p>
    <w:p>
      <w:pPr>
        <w:spacing w:after="120" w:before="0"/>
      </w:pPr>
      <w:r>
        <w:t xml:space="preserve">Some decisions belong to humans. The framework refuses to automate them on purpose:</w:t>
      </w:r>
    </w:p>
    <w:p>
      <w:pPr>
        <w:pStyle w:val="ListParagraph"/>
        <w:numPr>
          <w:ilvl w:val="0"/>
          <w:numId w:val="2"/>
        </w:numPr>
        <w:spacing w:after="80"/>
      </w:pPr>
      <w:r>
        <w:t xml:space="preserve">Compliance Officer sign-off on HIGH-FCA stories.</w:t>
      </w:r>
    </w:p>
    <w:p>
      <w:pPr>
        <w:pStyle w:val="ListParagraph"/>
        <w:numPr>
          <w:ilvl w:val="0"/>
          <w:numId w:val="2"/>
        </w:numPr>
        <w:spacing w:after="80"/>
      </w:pPr>
      <w:r>
        <w:t xml:space="preserve">Go/No-Go on a release candidate where any agent is below 60 % confidence.</w:t>
      </w:r>
    </w:p>
    <w:p>
      <w:pPr>
        <w:pStyle w:val="ListParagraph"/>
        <w:numPr>
          <w:ilvl w:val="0"/>
          <w:numId w:val="2"/>
        </w:numPr>
        <w:spacing w:after="80"/>
      </w:pPr>
      <w:r>
        <w:t xml:space="preserve">Severity calibration threshold changes.</w:t>
      </w:r>
    </w:p>
    <w:p>
      <w:pPr>
        <w:pStyle w:val="ListParagraph"/>
        <w:numPr>
          <w:ilvl w:val="0"/>
          <w:numId w:val="2"/>
        </w:numPr>
        <w:spacing w:after="80"/>
      </w:pPr>
      <w:r>
        <w:t xml:space="preserve">Acceptance of a CRT self-heal that touches a Consumer Duty journey.</w:t>
      </w:r>
    </w:p>
    <w:p>
      <w:pPr>
        <w:pStyle w:val="ListParagraph"/>
        <w:numPr>
          <w:ilvl w:val="0"/>
          <w:numId w:val="2"/>
        </w:numPr>
        <w:spacing w:after="80"/>
      </w:pPr>
      <w:r>
        <w:t xml:space="preserve">Waivers on any of the twelve hard gates.</w:t>
      </w:r>
    </w:p>
    <w:p>
      <w:r>
        <w:br w:type="page"/>
      </w:r>
    </w:p>
    <w:p>
      <w:pPr>
        <w:pStyle w:val="Heading1"/>
        <w:spacing w:after="200" w:before="360"/>
      </w:pPr>
      <w:r>
        <w:t xml:space="preserve">11. Adoption — How to Start Without Boiling the Ocean</w:t>
      </w:r>
    </w:p>
    <w:p>
      <w:pPr>
        <w:spacing w:after="120" w:before="0"/>
      </w:pPr>
      <w:r>
        <w:t xml:space="preserve">Do not deploy fifty-three agents on day one. The framework is designed to roll out in waves, each wave delivering measurable value before the next is unlocked.</w:t>
      </w:r>
    </w:p>
    <w:p>
      <w:pPr>
        <w:pStyle w:val="Heading3"/>
        <w:spacing w:after="120" w:before="220"/>
      </w:pPr>
      <w:r>
        <w:t xml:space="preserve">Wave 1 — Refinement and the First Gate (Sprint 1–2)</w:t>
      </w:r>
    </w:p>
    <w:p>
      <w:pPr>
        <w:spacing w:after="120" w:before="0"/>
      </w:pPr>
      <w:r>
        <w:t xml:space="preserve">Stand up Agents 1–9 plus the Fleet Commander and Quality Data Store. Turn on Gate G1. Goal: every story entering a sprint is INVEST-clean and FCA-classified. Expected over-flagging. Calibrate.</w:t>
      </w:r>
    </w:p>
    <w:p>
      <w:pPr>
        <w:pStyle w:val="Heading3"/>
        <w:spacing w:after="120" w:before="220"/>
      </w:pPr>
      <w:r>
        <w:t xml:space="preserve">Wave 2 — Development Gates (Sprint 3–5)</w:t>
      </w:r>
    </w:p>
    <w:p>
      <w:pPr>
        <w:spacing w:after="120" w:before="0"/>
      </w:pPr>
      <w:r>
        <w:t xml:space="preserve">Add Agents 10–23. Turn on Gates G2–G4. Goal: nothing leaves a dev sandbox without AC trace, coverage and metadata integrity. PMD Consume+Augment goes live here.</w:t>
      </w:r>
    </w:p>
    <w:p>
      <w:pPr>
        <w:pStyle w:val="Heading3"/>
        <w:spacing w:after="120" w:before="220"/>
      </w:pPr>
      <w:r>
        <w:t xml:space="preserve">Wave 3 — Testing Pyramid (Sprint 6–9)</w:t>
      </w:r>
    </w:p>
    <w:p>
      <w:pPr>
        <w:spacing w:after="120" w:before="0"/>
      </w:pPr>
      <w:r>
        <w:t xml:space="preserve">Add Agents 24–39. Turn on Gates G5 and G6. CRT self-healing review becomes mandatory. UAT sign-off becomes a recorded artefact, not an email.</w:t>
      </w:r>
    </w:p>
    <w:p>
      <w:pPr>
        <w:pStyle w:val="Heading3"/>
        <w:spacing w:after="120" w:before="220"/>
      </w:pPr>
      <w:r>
        <w:t xml:space="preserve">Wave 4 — Release Gates (Sprint 10–12)</w:t>
      </w:r>
    </w:p>
    <w:p>
      <w:pPr>
        <w:spacing w:after="120" w:before="0"/>
      </w:pPr>
      <w:r>
        <w:t xml:space="preserve">Add Agents 40–50. Turn on Gates G7–G12. Production Validation is scope-limited to changes — do not attempt to validate the whole org.</w:t>
      </w:r>
    </w:p>
    <w:p>
      <w:pPr>
        <w:pStyle w:val="Heading3"/>
        <w:spacing w:after="120" w:before="220"/>
      </w:pPr>
      <w:r>
        <w:t xml:space="preserve">Wave 5 — Cross-Phase and Calibration (Sprint 13+)</w:t>
      </w:r>
    </w:p>
    <w:p>
      <w:pPr>
        <w:spacing w:after="120" w:before="0"/>
      </w:pPr>
      <w:r>
        <w:t xml:space="preserve">Add Agents 51–53. Wire the FCA Regulatory Audit Agent into seven-year retention. Activate the Severity-Calibration weekly review. Capture metrics to feed Phase 2 (production monitoring, rollback).</w:t>
      </w:r>
    </w:p>
    <w:p>
      <w:r>
        <w:br w:type="page"/>
      </w:r>
    </w:p>
    <w:p>
      <w:pPr>
        <w:pStyle w:val="Heading1"/>
        <w:spacing w:after="200" w:before="360"/>
      </w:pPr>
      <w:r>
        <w:t xml:space="preserve">12. Closing — The Conductor and the Orchestra</w:t>
      </w:r>
    </w:p>
    <w:p>
      <w:pPr>
        <w:spacing w:after="120" w:before="0"/>
      </w:pPr>
      <w:r>
        <w:t xml:space="preserve">Agentic QE is not a destination. It is an evolution. You do not flip a switch and discover that fifty-three agents are running your wealth-management QE. You start small. You calibrate. You learn. You let agents amplify your team's expertise; you refuse to let them replace your team's judgement.</w:t>
      </w:r>
    </w:p>
    <w:p>
      <w:pPr>
        <w:spacing w:after="120" w:before="0"/>
      </w:pPr>
      <w:r>
        <w:t xml:space="preserve">PACT — Proactive, Autonomous, Collaborative, Targeted — is a way of classifying what kind of quality system you are actually running. In an FCA-regulated context, the classification matters: an inspector will ask you what your agents decided, why they decided it, what evidence they had, and how confident they were. This framework is built so that you can answer.</w:t>
      </w:r>
    </w:p>
    <w:p>
      <w:pPr>
        <w:spacing w:after="120" w:before="0"/>
      </w:pPr>
      <w:r>
        <w:t xml:space="preserve">The agents are instruments. Compliance Officers, Product Owners, QE Leads, developers and business UAT testers are the orchestra. The conductor is still human. And sometimes — when an agent is over-eager, when a self-heal looks too convenient, when a confidence score is just above the threshold — the conductor needs to tell the instruments to play simpler.</w:t>
      </w:r>
    </w:p>
    <w:p>
      <w:pPr>
        <w:pBdr>
          <w:left w:val="single" w:color="2E75B6" w:sz="24" w:space="12"/>
        </w:pBdr>
        <w:spacing w:after="160" w:before="160"/>
        <w:ind w:left="720" w:right="720"/>
      </w:pPr>
      <w:r>
        <w:rPr>
          <w:i/>
          <w:iCs/>
          <w:color w:val="404040"/>
        </w:rPr>
        <w:t xml:space="preserve">Quality has never been about tools. It has never been about automation for automation's sake. It has always been about delivering value to clients while managing risk intelligently. Agentic QE just gives us better orchestration to do that.</w:t>
      </w:r>
    </w:p>
    <w:p>
      <w:pPr>
        <w:spacing w:after="120" w:before="0"/>
        <w:jc w:val="center"/>
      </w:pPr>
      <w:r>
        <w:rPr>
          <w:i/>
          <w:iCs/>
        </w:rPr>
        <w:t xml:space="preserve">— End of Framework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FSC Agentic QE Framework — PACT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FSC Agentic QE Framework — PACT Edition</dc:title>
  <dc:creator>Quality Engineering</dc:creator>
  <dc:description>PACT-driven Agentic Quality Engineering framework for Salesforce Financial Services Cloud</dc:description>
  <cp:lastModifiedBy>Un-named</cp:lastModifiedBy>
  <cp:revision>1</cp:revision>
  <dcterms:created xsi:type="dcterms:W3CDTF">2026-05-15T16:39:07.267Z</dcterms:created>
  <dcterms:modified xsi:type="dcterms:W3CDTF">2026-05-15T16:39:07.281Z</dcterms:modified>
</cp:coreProperties>
</file>

<file path=docProps/custom.xml><?xml version="1.0" encoding="utf-8"?>
<Properties xmlns="http://schemas.openxmlformats.org/officeDocument/2006/custom-properties" xmlns:vt="http://schemas.openxmlformats.org/officeDocument/2006/docPropsVTypes"/>
</file>