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200"/>
        <w:jc w:val="center"/>
      </w:pPr>
      <w:r>
        <w:rPr>
          <w:rFonts w:ascii="Arial Unicode MS" w:hAnsi="Arial Unicode MS" w:eastAsia="Arial Unicode MS"/>
          <w:b/>
          <w:i w:val="0"/>
          <w:color w:val="17365D"/>
          <w:sz w:val="40"/>
        </w:rPr>
        <w:t>加密货币泡沫形成的预测研究：散户情绪、社交媒体传播、协同推广与巨鲸行为</w:t>
      </w:r>
    </w:p>
    <w:p>
      <w:pPr>
        <w:spacing w:after="440"/>
        <w:jc w:val="center"/>
      </w:pPr>
      <w:r>
        <w:rPr>
          <w:rFonts w:ascii="Arial Unicode MS" w:hAnsi="Arial Unicode MS" w:eastAsia="Arial Unicode MS"/>
          <w:b w:val="0"/>
          <w:i/>
          <w:color w:val="5B6573"/>
          <w:sz w:val="22"/>
        </w:rPr>
        <w:t>基于多币种面板数据的行为金融研究方案（开题答辩委员会正式提交版）</w:t>
      </w:r>
    </w:p>
    <w:tbl>
      <w:tblPr>
        <w:tblW w:type="dxa" w:w="9026"/>
        <w:tblLayout w:type="fixed"/>
        <w:tblLook w:firstColumn="1" w:firstRow="1" w:lastColumn="0" w:lastRow="0" w:noHBand="0" w:noVBand="1" w:val="04A0"/>
        <w:jc w:val="lef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Ind w:w="120" w:type="dxa"/>
      </w:tblPr>
      <w:tblGrid>
        <w:gridCol w:w="2527"/>
        <w:gridCol w:w="6499"/>
      </w:tblGrid>
      <w:tr>
        <w:tc>
          <w:tcPr>
            <w:tcW w:type="dxa" w:w="2527"/>
            <w:vAlign w:val="center"/>
            <w:tcMar>
              <w:top w:w="65" w:type="dxa"/>
              <w:bottom w:w="65" w:type="dxa"/>
              <w:start w:w="88" w:type="dxa"/>
              <w:end w:w="88" w:type="dxa"/>
            </w:tcMar>
          </w:tcPr>
          <w:p>
            <w:pPr>
              <w:spacing w:after="0"/>
            </w:pPr>
            <w:r>
              <w:rPr>
                <w:rFonts w:ascii="Arial Unicode MS" w:hAnsi="Arial Unicode MS" w:eastAsia="Arial Unicode MS"/>
                <w:b/>
                <w:i w:val="0"/>
                <w:color w:val="5B6573"/>
                <w:sz w:val="18"/>
              </w:rPr>
              <w:t>申请人</w:t>
            </w:r>
          </w:p>
        </w:tc>
        <w:tc>
          <w:tcPr>
            <w:tcW w:type="dxa" w:w="6499"/>
            <w:vAlign w:val="center"/>
            <w:tcMar>
              <w:top w:w="65" w:type="dxa"/>
              <w:bottom w:w="65" w:type="dxa"/>
              <w:start w:w="88" w:type="dxa"/>
              <w:end w:w="88" w:type="dxa"/>
            </w:tcMar>
          </w:tcPr>
          <w:p>
            <w:pPr>
              <w:spacing w:after="0"/>
            </w:pPr>
            <w:r>
              <w:rPr>
                <w:rFonts w:ascii="Arial Unicode MS" w:hAnsi="Arial Unicode MS" w:eastAsia="Arial Unicode MS"/>
                <w:b w:val="0"/>
                <w:i w:val="0"/>
                <w:color w:val="172033"/>
                <w:sz w:val="18"/>
              </w:rPr>
              <w:t>马宏伟（Ma Hongwei）</w:t>
            </w:r>
          </w:p>
        </w:tc>
      </w:tr>
      <w:tr>
        <w:tc>
          <w:tcPr>
            <w:tcW w:type="dxa" w:w="2527"/>
            <w:vAlign w:val="center"/>
            <w:tcMar>
              <w:top w:w="65" w:type="dxa"/>
              <w:bottom w:w="65" w:type="dxa"/>
              <w:start w:w="88" w:type="dxa"/>
              <w:end w:w="88" w:type="dxa"/>
            </w:tcMar>
          </w:tcPr>
          <w:p>
            <w:pPr>
              <w:spacing w:after="0"/>
            </w:pPr>
            <w:r>
              <w:rPr>
                <w:rFonts w:ascii="Arial Unicode MS" w:hAnsi="Arial Unicode MS" w:eastAsia="Arial Unicode MS"/>
                <w:b/>
                <w:i w:val="0"/>
                <w:color w:val="5B6573"/>
                <w:sz w:val="18"/>
              </w:rPr>
              <w:t>项目</w:t>
            </w:r>
          </w:p>
        </w:tc>
        <w:tc>
          <w:tcPr>
            <w:tcW w:type="dxa" w:w="6499"/>
            <w:vAlign w:val="center"/>
            <w:tcMar>
              <w:top w:w="65" w:type="dxa"/>
              <w:bottom w:w="65" w:type="dxa"/>
              <w:start w:w="88" w:type="dxa"/>
              <w:end w:w="88" w:type="dxa"/>
            </w:tcMar>
          </w:tcPr>
          <w:p>
            <w:pPr>
              <w:spacing w:after="0"/>
            </w:pPr>
            <w:r>
              <w:rPr>
                <w:rFonts w:ascii="Arial Unicode MS" w:hAnsi="Arial Unicode MS" w:eastAsia="Arial Unicode MS"/>
                <w:b w:val="0"/>
                <w:i w:val="0"/>
                <w:color w:val="172033"/>
                <w:sz w:val="18"/>
              </w:rPr>
              <w:t>SJTU-SMU DBA 博士研究</w:t>
            </w:r>
          </w:p>
        </w:tc>
      </w:tr>
      <w:tr>
        <w:tc>
          <w:tcPr>
            <w:tcW w:type="dxa" w:w="2527"/>
            <w:vAlign w:val="center"/>
            <w:tcMar>
              <w:top w:w="65" w:type="dxa"/>
              <w:bottom w:w="65" w:type="dxa"/>
              <w:start w:w="88" w:type="dxa"/>
              <w:end w:w="88" w:type="dxa"/>
            </w:tcMar>
          </w:tcPr>
          <w:p>
            <w:pPr>
              <w:spacing w:after="0"/>
            </w:pPr>
            <w:r>
              <w:rPr>
                <w:rFonts w:ascii="Arial Unicode MS" w:hAnsi="Arial Unicode MS" w:eastAsia="Arial Unicode MS"/>
                <w:b/>
                <w:i w:val="0"/>
                <w:color w:val="5B6573"/>
                <w:sz w:val="18"/>
              </w:rPr>
              <w:t>提交目的</w:t>
            </w:r>
          </w:p>
        </w:tc>
        <w:tc>
          <w:tcPr>
            <w:tcW w:type="dxa" w:w="6499"/>
            <w:vAlign w:val="center"/>
            <w:tcMar>
              <w:top w:w="65" w:type="dxa"/>
              <w:bottom w:w="65" w:type="dxa"/>
              <w:start w:w="88" w:type="dxa"/>
              <w:end w:w="88" w:type="dxa"/>
            </w:tcMar>
          </w:tcPr>
          <w:p>
            <w:pPr>
              <w:spacing w:after="0"/>
            </w:pPr>
            <w:r>
              <w:rPr>
                <w:rFonts w:ascii="Arial Unicode MS" w:hAnsi="Arial Unicode MS" w:eastAsia="Arial Unicode MS"/>
                <w:b w:val="0"/>
                <w:i w:val="0"/>
                <w:color w:val="172033"/>
                <w:sz w:val="18"/>
              </w:rPr>
              <w:t>开题答辩委员会正式审阅</w:t>
            </w:r>
          </w:p>
        </w:tc>
      </w:tr>
      <w:tr>
        <w:tc>
          <w:tcPr>
            <w:tcW w:type="dxa" w:w="2527"/>
            <w:vAlign w:val="center"/>
            <w:tcMar>
              <w:top w:w="65" w:type="dxa"/>
              <w:bottom w:w="65" w:type="dxa"/>
              <w:start w:w="88" w:type="dxa"/>
              <w:end w:w="88" w:type="dxa"/>
            </w:tcMar>
          </w:tcPr>
          <w:p>
            <w:pPr>
              <w:spacing w:after="0"/>
            </w:pPr>
            <w:r>
              <w:rPr>
                <w:rFonts w:ascii="Arial Unicode MS" w:hAnsi="Arial Unicode MS" w:eastAsia="Arial Unicode MS"/>
                <w:b/>
                <w:i w:val="0"/>
                <w:color w:val="5B6573"/>
                <w:sz w:val="18"/>
              </w:rPr>
              <w:t>提交日期</w:t>
            </w:r>
          </w:p>
        </w:tc>
        <w:tc>
          <w:tcPr>
            <w:tcW w:type="dxa" w:w="6499"/>
            <w:vAlign w:val="center"/>
            <w:tcMar>
              <w:top w:w="65" w:type="dxa"/>
              <w:bottom w:w="65" w:type="dxa"/>
              <w:start w:w="88" w:type="dxa"/>
              <w:end w:w="88" w:type="dxa"/>
            </w:tcMar>
          </w:tcPr>
          <w:p>
            <w:pPr>
              <w:spacing w:after="0"/>
            </w:pPr>
            <w:r>
              <w:rPr>
                <w:rFonts w:ascii="Arial Unicode MS" w:hAnsi="Arial Unicode MS" w:eastAsia="Arial Unicode MS"/>
                <w:b w:val="0"/>
                <w:i w:val="0"/>
                <w:color w:val="172033"/>
                <w:sz w:val="18"/>
              </w:rPr>
              <w:t>2026 年 8 月 16 日</w:t>
            </w:r>
          </w:p>
        </w:tc>
      </w:tr>
      <w:tr>
        <w:tc>
          <w:tcPr>
            <w:tcW w:type="dxa" w:w="2527"/>
            <w:vAlign w:val="center"/>
            <w:tcMar>
              <w:top w:w="65" w:type="dxa"/>
              <w:bottom w:w="65" w:type="dxa"/>
              <w:start w:w="88" w:type="dxa"/>
              <w:end w:w="88" w:type="dxa"/>
            </w:tcMar>
          </w:tcPr>
          <w:p>
            <w:pPr>
              <w:spacing w:after="0"/>
            </w:pPr>
            <w:r>
              <w:rPr>
                <w:rFonts w:ascii="Arial Unicode MS" w:hAnsi="Arial Unicode MS" w:eastAsia="Arial Unicode MS"/>
                <w:b/>
                <w:i w:val="0"/>
                <w:color w:val="5B6573"/>
                <w:sz w:val="18"/>
              </w:rPr>
              <w:t>计划研究期</w:t>
            </w:r>
          </w:p>
        </w:tc>
        <w:tc>
          <w:tcPr>
            <w:tcW w:type="dxa" w:w="6499"/>
            <w:vAlign w:val="center"/>
            <w:tcMar>
              <w:top w:w="65" w:type="dxa"/>
              <w:bottom w:w="65" w:type="dxa"/>
              <w:start w:w="88" w:type="dxa"/>
              <w:end w:w="88" w:type="dxa"/>
            </w:tcMar>
          </w:tcPr>
          <w:p>
            <w:pPr>
              <w:spacing w:after="0"/>
            </w:pPr>
            <w:r>
              <w:rPr>
                <w:rFonts w:ascii="Arial Unicode MS" w:hAnsi="Arial Unicode MS" w:eastAsia="Arial Unicode MS"/>
                <w:b w:val="0"/>
                <w:i w:val="0"/>
                <w:color w:val="172033"/>
                <w:sz w:val="18"/>
              </w:rPr>
              <w:t xml:space="preserve">训练 2021-2023；验证 2024；时间外评价 2025（已部分观察）；前瞻性样本外 2026 年下半年起</w:t>
            </w:r>
          </w:p>
        </w:tc>
      </w:tr>
      <w:tr>
        <w:tc>
          <w:tcPr>
            <w:tcW w:type="dxa" w:w="2527"/>
            <w:vAlign w:val="center"/>
            <w:tcMar>
              <w:top w:w="65" w:type="dxa"/>
              <w:bottom w:w="65" w:type="dxa"/>
              <w:start w:w="88" w:type="dxa"/>
              <w:end w:w="88" w:type="dxa"/>
            </w:tcMar>
          </w:tcPr>
          <w:p>
            <w:pPr>
              <w:spacing w:after="0"/>
            </w:pPr>
            <w:r>
              <w:rPr>
                <w:rFonts w:ascii="Arial Unicode MS" w:hAnsi="Arial Unicode MS" w:eastAsia="Arial Unicode MS"/>
                <w:b/>
                <w:i w:val="0"/>
                <w:color w:val="5B6573"/>
                <w:sz w:val="18"/>
              </w:rPr>
              <w:t>文档性质</w:t>
            </w:r>
          </w:p>
        </w:tc>
        <w:tc>
          <w:tcPr>
            <w:tcW w:type="dxa" w:w="6499"/>
            <w:vAlign w:val="center"/>
            <w:tcMar>
              <w:top w:w="65" w:type="dxa"/>
              <w:bottom w:w="65" w:type="dxa"/>
              <w:start w:w="88" w:type="dxa"/>
              <w:end w:w="88" w:type="dxa"/>
            </w:tcMar>
          </w:tcPr>
          <w:p>
            <w:pPr>
              <w:spacing w:after="0"/>
            </w:pPr>
            <w:r>
              <w:rPr>
                <w:rFonts w:ascii="Arial Unicode MS" w:hAnsi="Arial Unicode MS" w:eastAsia="Arial Unicode MS"/>
                <w:b w:val="0"/>
                <w:i w:val="0"/>
                <w:color w:val="172033"/>
                <w:sz w:val="18"/>
              </w:rPr>
              <w:t xml:space="preserve">研究方案及可行性 pilot；pilot 属管道验证与无信息结果，不构成假设检验</w:t>
            </w:r>
          </w:p>
        </w:tc>
      </w:tr>
    </w:tbl>
    <w:p>
      <w:pPr>
        <w:pStyle w:val="Heading1"/>
        <w:pageBreakBefore/>
      </w:pPr>
      <w:r>
        <w:t>摘要</w:t>
      </w:r>
    </w:p>
    <w:p>
      <w:pPr>
        <w:spacing w:before="0" w:after="140" w:line="324" w:lineRule="auto"/>
        <w:ind w:firstLine="440"/>
        <w:jc w:val="both"/>
      </w:pPr>
      <w:r>
        <w:rPr>
          <w:rFonts w:ascii="Arial Unicode MS" w:hAnsi="Arial Unicode MS" w:eastAsia="Arial Unicode MS"/>
          <w:b w:val="0"/>
          <w:i w:val="0"/>
          <w:color w:val="172033"/>
          <w:sz w:val="22"/>
        </w:rPr>
        <w:t xml:space="preserve">本研究检验散户情绪、社交媒体传播、协同推广信号和巨鲸链上行为能否预测加密货币泡沫进入，并识别这些信号在不同币种中是否呈现可重复的时间顺序。针对现有研究多停留于情绪与收益率同期相关的不足，本文将结果变量定义为 GSADF/BSADF 方法识别的未来统计爆炸状态进入，而非大幅上涨或事后主观泡沫判断。主分析频率为币种-日，小时级模型用于 Telegram 爆发窗口的机制检验与稳健性。</w:t>
      </w:r>
    </w:p>
    <w:p>
      <w:pPr>
        <w:spacing w:before="0" w:after="140" w:line="324" w:lineRule="auto"/>
        <w:ind w:firstLine="440"/>
        <w:jc w:val="both"/>
      </w:pPr>
      <w:r>
        <w:rPr>
          <w:rFonts w:ascii="Arial Unicode MS" w:hAnsi="Arial Unicode MS" w:eastAsia="Arial Unicode MS"/>
          <w:b w:val="0"/>
          <w:i w:val="0"/>
          <w:color w:val="172033"/>
          <w:sz w:val="22"/>
        </w:rPr>
        <w:t xml:space="preserve">研究设置三个主假设。H1 检验滞后的社交扩散和情绪极化，能否在收益率、波动率、成交量、流动性、全市场状态以及当前 BSADF 与临界值距离之外，提供同等模型复杂度下的样本外增量预测信息。H2 将协同推广设为散户基础情绪易感性与未来泡沫进入之间的中介变量，主估计量为概率尺度上的自然间接效应，并以严格错位时间窗、前因与中介的互斥构造、分块 bootstrap、非线性分解和敏感性分析为主。H3 检验实体识别后的巨鲸行为是否具有阶段性作用，以及巨鲸或协同信号、扩散、事件期情绪、交易放大与 BSADF 进入之间是否存在高于随机基准的先后关系。</w:t>
      </w:r>
    </w:p>
    <w:p>
      <w:pPr>
        <w:spacing w:before="0" w:after="140" w:line="324" w:lineRule="auto"/>
        <w:ind w:firstLine="440"/>
        <w:jc w:val="both"/>
      </w:pPr>
      <w:r>
        <w:rPr>
          <w:rFonts w:ascii="Arial Unicode MS" w:hAnsi="Arial Unicode MS" w:eastAsia="Arial Unicode MS"/>
          <w:b w:val="0"/>
          <w:i w:val="0"/>
          <w:color w:val="172033"/>
          <w:sz w:val="22"/>
        </w:rPr>
        <w:t xml:space="preserve">正式研究拟构建 2021-2025 年非稳定币时点化面板：核心推断样本约 30-50 个完整覆盖币种，扩展样本在数据允许时覆盖 50-200 个币种；全部时间统一为 UTC。由于 pilot 阶段已在 2025 年数据上运行过泡沫标签，本文不再声称 2025 年是未被观察的锁定测试集，而是在附录 A 中披露已观察内容，并把真正的前瞻性样本外窗口前移至 2026 年下半年及之后。</w:t>
      </w:r>
    </w:p>
    <w:p>
      <w:pPr>
        <w:spacing w:before="0" w:after="140" w:line="324" w:lineRule="auto"/>
        <w:ind w:firstLine="440"/>
        <w:jc w:val="both"/>
      </w:pPr>
      <w:r>
        <w:rPr>
          <w:rFonts w:ascii="Arial Unicode MS" w:hAnsi="Arial Unicode MS" w:eastAsia="Arial Unicode MS"/>
          <w:b w:val="0"/>
          <w:i w:val="0"/>
          <w:color w:val="172033"/>
          <w:sz w:val="22"/>
        </w:rPr>
        <w:t xml:space="preserve">现有 pilot 仅证明管道可运行，不构成任何假设的证据。四组 H2 间接效应的 bootstrap 区间全部跨 0，且区间宽度（如 [-1.231, 2.363]）说明这是无信息结果而非负结果：pilot 面板 170 行、46 个正例背后仅对应约 3-6 个独立泡沫 episode，不具备拒绝任何假设的功效。H1 嵌套模型的样本内 AUC 由 0.823 升至 0.856，但该样本经事件窗口筛选（正例率高达 27%，与正式面板预期的 0.5-2% 相差一个数量级）、仅覆盖单一平台、未使用锁定测试，且基准模型与完整模型的函数复杂度不对等，因此不可外推。巨鲸数据尚未接入。pilot 的作用是降低技术不确定性并暴露数据风险，可行性判断取决于覆盖门槛与独立事件数，不取决于 pilot 系数。</w:t>
      </w:r>
    </w:p>
    <w:p>
      <w:pPr>
        <w:spacing w:before="0" w:after="140" w:line="324" w:lineRule="auto"/>
        <w:ind w:firstLine="440"/>
        <w:jc w:val="both"/>
      </w:pPr>
      <w:r>
        <w:rPr>
          <w:rFonts w:ascii="Arial Unicode MS" w:hAnsi="Arial Unicode MS" w:eastAsia="Arial Unicode MS"/>
          <w:b/>
          <w:i w:val="0"/>
          <w:color w:val="172033"/>
          <w:sz w:val="22"/>
        </w:rPr>
        <w:t xml:space="preserve">关键词：加密货币泡沫；散户情绪；社交媒体传播；协同推广；市场操纵；中介效应；巨鲸行为；GSADF；BSADF；样本外预测</w:t>
      </w:r>
    </w:p>
    <w:p>
      <w:pPr>
        <w:pageBreakBefore/>
        <w:spacing w:before="0" w:after="140"/>
      </w:pPr>
      <w:r>
        <w:rPr>
          <w:rFonts w:ascii="Arial Unicode MS" w:hAnsi="Arial Unicode MS" w:eastAsia="Arial Unicode MS"/>
          <w:b/>
          <w:i w:val="0"/>
          <w:color w:val="1F4E79"/>
          <w:sz w:val="31"/>
        </w:rPr>
        <w:t>目录</w:t>
      </w:r>
    </w:p>
    <w:tbl>
      <w:tblPr>
        <w:tblW w:type="dxa" w:w="9026"/>
        <w:tblLayout w:type="fixed"/>
        <w:tblLook w:firstColumn="1" w:firstRow="1" w:lastColumn="0" w:lastRow="0" w:noHBand="0" w:noVBand="1" w:val="04A0"/>
        <w:jc w:val="lef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Ind w:w="120" w:type="dxa"/>
      </w:tblPr>
      <w:tblGrid>
        <w:gridCol w:w="8214"/>
        <w:gridCol w:w="812"/>
      </w:tblGrid>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摘要</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2</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一、绪论</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4</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二、文献综述</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10</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三、研究问题、理论框架与研究假设</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17</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四、研究设计：样本、数据与变量</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26</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五、实证方法、识别与稳健性</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37</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六、试点证据、证据边界与预期贡献</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45</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七、研究治理、可行性与限制</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54</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参考文献</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59</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附录 A：预分析决策规则</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65</w:t>
            </w:r>
          </w:p>
        </w:tc>
      </w:tr>
      <w:tr>
        <w:tc>
          <w:tcPr>
            <w:tcW w:type="dxa" w:w="8214"/>
            <w:tcMar>
              <w:top w:w="28" w:type="dxa"/>
              <w:bottom w:w="28" w:type="dxa"/>
              <w:start w:w="30" w:type="dxa"/>
              <w:end w:w="30" w:type="dxa"/>
            </w:tcMar>
            <w:vAlign w:val="center"/>
          </w:tcPr>
          <w:p>
            <w:pPr>
              <w:spacing w:after="0"/>
            </w:pPr>
            <w:r>
              <w:rPr>
                <w:rFonts w:ascii="Arial Unicode MS" w:hAnsi="Arial Unicode MS" w:eastAsia="Arial Unicode MS"/>
                <w:b w:val="0"/>
                <w:i w:val="0"/>
                <w:color w:val="172033"/>
                <w:sz w:val="18"/>
              </w:rPr>
              <w:t xml:space="preserve">附录 B：Pilot 至正式研究准备矩阵</w:t>
            </w:r>
          </w:p>
        </w:tc>
        <w:tc>
          <w:tcPr>
            <w:tcW w:type="dxa" w:w="812"/>
            <w:tcMar>
              <w:top w:w="28" w:type="dxa"/>
              <w:bottom w:w="28" w:type="dxa"/>
              <w:start w:w="30" w:type="dxa"/>
              <w:end w:w="30" w:type="dxa"/>
            </w:tcMar>
            <w:vAlign w:val="center"/>
          </w:tcPr>
          <w:p>
            <w:pPr>
              <w:spacing w:after="0"/>
              <w:jc w:val="right"/>
            </w:pPr>
            <w:r>
              <w:rPr>
                <w:rFonts w:ascii="Arial Unicode MS" w:hAnsi="Arial Unicode MS" w:eastAsia="Arial Unicode MS"/>
                <w:b w:val="0"/>
                <w:i w:val="0"/>
                <w:color w:val="5B6573"/>
                <w:sz w:val="18"/>
              </w:rPr>
              <w:t xml:space="preserve">66</w:t>
            </w:r>
          </w:p>
        </w:tc>
      </w:tr>
    </w:tbl>
    <w:p>
      <w:pPr>
        <w:pStyle w:val="Heading1"/>
        <w:pageBreakBefore/>
      </w:pPr>
      <w:r>
        <w:t>一、绪论</w:t>
      </w:r>
    </w:p>
    <w:p>
      <w:pPr>
        <w:pStyle w:val="Heading2"/>
      </w:pPr>
      <w:r>
        <w:t>1.1 从加密货币到可编程金融</w:t>
      </w:r>
    </w:p>
    <w:p>
      <w:pPr>
        <w:spacing w:before="0" w:after="140" w:line="324" w:lineRule="auto"/>
        <w:ind w:firstLine="440"/>
        <w:jc w:val="both"/>
      </w:pPr>
      <w:r>
        <w:rPr>
          <w:rFonts w:ascii="Arial Unicode MS" w:hAnsi="Arial Unicode MS" w:eastAsia="Arial Unicode MS"/>
          <w:b w:val="0"/>
          <w:i w:val="0"/>
          <w:color w:val="172033"/>
          <w:sz w:val="22"/>
        </w:rPr>
        <w:t>加密货币已经从早期的技术实验发展为具有全球交易规模和广泛散户参与的资产类别。与股票和债券相比，多数加密资产缺少稳定、可验证的现金流锚，价格对叙事、注意力和交易者预期更为敏感。连续交易、杠杆可得性、流动性分散和做空约束又使价格偏离难以及时纠正。因此，加密货币市场不仅频繁出现急剧上涨和回撤，也为研究投资者情绪、噪声交易和套利限制提供了较为典型的经验场景。</w:t>
      </w:r>
    </w:p>
    <w:p>
      <w:pPr>
        <w:spacing w:before="0" w:after="140" w:line="324" w:lineRule="auto"/>
        <w:ind w:firstLine="440"/>
        <w:jc w:val="both"/>
      </w:pPr>
      <w:r>
        <w:rPr>
          <w:rFonts w:ascii="Arial Unicode MS" w:hAnsi="Arial Unicode MS" w:eastAsia="Arial Unicode MS"/>
          <w:b w:val="0"/>
          <w:i w:val="0"/>
          <w:color w:val="172033"/>
          <w:sz w:val="22"/>
        </w:rPr>
        <w:t>这一市场的意义并不限于新增了一类投机资产。区块链把价值记录、资产转移和合约执行放到公开网络上，智能合约进一步把金融安排转化为可编程规则。近年来，稳定币、质押、去中心化金融、Layer-2 网络、跨链基础设施、现实资产代币化以及受监管的交易所交易产品相继出现。它们在经济功能、法律权利和风险结构上并不相同，却共同依赖数字账本、密码学验证和网络化治理。由此形成的市场兼具支付工具、协议使用权、治理权、融资工具和交易资产等属性。</w:t>
      </w:r>
    </w:p>
    <w:p>
      <w:pPr>
        <w:spacing w:before="0" w:after="140" w:line="324" w:lineRule="auto"/>
        <w:ind w:firstLine="440"/>
        <w:jc w:val="both"/>
      </w:pPr>
      <w:r>
        <w:rPr>
          <w:rFonts w:ascii="Arial Unicode MS" w:hAnsi="Arial Unicode MS" w:eastAsia="Arial Unicode MS"/>
          <w:b w:val="0"/>
          <w:i w:val="0"/>
          <w:color w:val="172033"/>
          <w:sz w:val="22"/>
        </w:rPr>
        <w:t>这类创新具有一定的颠覆性。传统金融中由中介承担的验证、清算、结算和部分合约执行，可以在开放网络中由代码和共识机制完成；代币还可把网络使用、开发者激励和早期融资联系起来（Catalini and Gans, 2020；Cong et al., 2021）。BIS（2025, 2026）围绕下一代货币金融体系和稳定币之外的创新展开讨论，也反映出可编程金融已经进入主流制度研究。不过，降低验证和连接成本并不自动产生稳定价值，也不意味着市场质量随技术进步同步提高。开放发行减少了准入门槛，同时也使项目质量、信息披露和投资者保护更加不均衡。</w:t>
      </w:r>
    </w:p>
    <w:p>
      <w:pPr>
        <w:spacing w:before="0" w:after="140" w:line="324" w:lineRule="auto"/>
        <w:ind w:firstLine="440"/>
        <w:jc w:val="both"/>
      </w:pPr>
      <w:r>
        <w:rPr>
          <w:rFonts w:ascii="Arial Unicode MS" w:hAnsi="Arial Unicode MS" w:eastAsia="Arial Unicode MS"/>
          <w:b w:val="0"/>
          <w:i w:val="0"/>
          <w:color w:val="172033"/>
          <w:sz w:val="22"/>
        </w:rPr>
        <w:t>同一个代币可能在不同阶段承担不同功能。协议发展初期，它可能主要依赖未来采用预期；进入交易所后，又可能迅速成为杠杆和短线交易标的；当生态形成后，网络使用和治理价值才逐步显现。技术价值与投机价值因而不是非此即彼。本文不预设加密资产没有经济用途，也不把技术创新本身当作价格合理性的证明，而是研究在两者并存的情况下，叙事、参与和交易结构如何共同推动价格进入爆炸状态。</w:t>
      </w:r>
    </w:p>
    <w:p>
      <w:pPr>
        <w:spacing w:before="0" w:after="140" w:line="324" w:lineRule="auto"/>
        <w:ind w:firstLine="440"/>
        <w:jc w:val="both"/>
      </w:pPr>
      <w:r>
        <w:rPr>
          <w:rFonts w:ascii="Arial Unicode MS" w:hAnsi="Arial Unicode MS" w:eastAsia="Arial Unicode MS"/>
          <w:b w:val="0"/>
          <w:i w:val="0"/>
          <w:color w:val="172033"/>
          <w:sz w:val="22"/>
        </w:rPr>
        <w:t>行为金融文献早已说明，情绪可能影响难以估值和难以套利的资产。不过，若研究只证明乐观情绪与价格上涨同时出现，所得结论既容易预见，也难以排除价格上涨反过来吸引社交关注的可能。对于泡沫研究，更有意义的问题是：情绪和传播信号是否在统计意义上的泡沫进入之前出现，能否在收益率、波动率、成交量和市场状态之外提供额外信息，以及这些关系能否在不同币种和不同市场阶段重复观察到。</w:t>
      </w:r>
    </w:p>
    <w:p>
      <w:pPr>
        <w:spacing w:before="0" w:after="140" w:line="324" w:lineRule="auto"/>
        <w:ind w:firstLine="440"/>
        <w:jc w:val="both"/>
      </w:pPr>
      <w:r>
        <w:rPr>
          <w:rFonts w:ascii="Arial Unicode MS" w:hAnsi="Arial Unicode MS" w:eastAsia="Arial Unicode MS"/>
          <w:b w:val="0"/>
          <w:i w:val="0"/>
          <w:color w:val="172033"/>
          <w:sz w:val="22"/>
        </w:rPr>
        <w:t>本研究据此把研究对象从同期的“情绪—收益”关系转向泡沫形成前的动态过程。论文将 GSADF/BSADF 识别的未来爆炸状态进入作为主要结果变量，分别考察社交媒体扩散与散户情绪的增量预测作用、协同推广的中介关联，以及实体识别后的巨鲸行为与各类信号的时间顺序。</w:t>
      </w:r>
    </w:p>
    <w:p>
      <w:pPr>
        <w:pStyle w:val="Heading2"/>
      </w:pPr>
      <w:r>
        <w:t>1.2 颠覆性架构与薄弱的估值锚</w:t>
      </w:r>
    </w:p>
    <w:p>
      <w:pPr>
        <w:spacing w:before="0" w:after="140" w:line="324" w:lineRule="auto"/>
        <w:ind w:firstLine="440"/>
        <w:jc w:val="both"/>
      </w:pPr>
      <w:r>
        <w:rPr>
          <w:rFonts w:ascii="Arial Unicode MS" w:hAnsi="Arial Unicode MS" w:eastAsia="Arial Unicode MS"/>
          <w:b w:val="0"/>
          <w:i w:val="0"/>
          <w:color w:val="172033"/>
          <w:sz w:val="22"/>
        </w:rPr>
        <w:t>传统证券通常能够借助现金流、资产负债表、剩余索取权或可比公司建立估值参照。加密资产的价值来源更分散：网络采用、交易需求、协议收入、治理权、稀缺规则和预期生态增长都可能发挥作用，但很少有一种指标可以跨币种、跨阶段稳定解释价格。部分代币甚至没有明确的现金流权利，网络活跃度与代币持有人的经济利益也未必成比例。</w:t>
      </w:r>
    </w:p>
    <w:p>
      <w:pPr>
        <w:spacing w:before="0" w:after="140" w:line="324" w:lineRule="auto"/>
        <w:ind w:firstLine="440"/>
        <w:jc w:val="both"/>
      </w:pPr>
      <w:r>
        <w:rPr>
          <w:rFonts w:ascii="Arial Unicode MS" w:hAnsi="Arial Unicode MS" w:eastAsia="Arial Unicode MS"/>
          <w:b w:val="0"/>
          <w:i w:val="0"/>
          <w:color w:val="172033"/>
          <w:sz w:val="22"/>
        </w:rPr>
        <w:t>市场分割进一步削弱了价格纠偏。加密交易全天候进行，现货、永续合约和链上交易分布在不同平台，不同交易所的流动性、对手风险、法币通道和监管约束并不一致。Makarov and Schoar（2020）表明，加密市场长期存在跨交易所价差和分割。对中小币种而言，借币和做空工具不足，杠杆多集中在追涨方向；即便理性交易者判断价格过高，也可能因资金约束、清算风险和时点不确定而无法持续套利。</w:t>
      </w:r>
    </w:p>
    <w:p>
      <w:pPr>
        <w:spacing w:before="0" w:after="140" w:line="324" w:lineRule="auto"/>
        <w:ind w:firstLine="440"/>
        <w:jc w:val="both"/>
      </w:pPr>
      <w:r>
        <w:rPr>
          <w:rFonts w:ascii="Arial Unicode MS" w:hAnsi="Arial Unicode MS" w:eastAsia="Arial Unicode MS"/>
          <w:b w:val="0"/>
          <w:i w:val="0"/>
          <w:color w:val="172033"/>
          <w:sz w:val="22"/>
        </w:rPr>
        <w:t>因此，价格快速上升既可能反映技术采用和网络效应，也可能反映外推预期、战略性推广和叙事竞争。二者在实时数据中往往难以分离。本文选择统计爆炸性而不是“内在价值偏离”作为结果变量，正是为了避免先强加一个争议更大的估值模型。研究关注的是价格过程何时表现为递归意义上的爆炸状态，以及哪些行为信号在该状态出现之前可被观察。</w:t>
      </w:r>
    </w:p>
    <w:p>
      <w:pPr>
        <w:pStyle w:val="Heading2"/>
      </w:pPr>
      <w:r>
        <w:t>1.3 散户参与、反馈交易与暴涨暴跌</w:t>
      </w:r>
    </w:p>
    <w:p>
      <w:pPr>
        <w:spacing w:before="0" w:after="140" w:line="324" w:lineRule="auto"/>
        <w:ind w:firstLine="440"/>
        <w:jc w:val="both"/>
      </w:pPr>
      <w:r>
        <w:rPr>
          <w:rFonts w:ascii="Arial Unicode MS" w:hAnsi="Arial Unicode MS" w:eastAsia="Arial Unicode MS"/>
          <w:b w:val="0"/>
          <w:i w:val="0"/>
          <w:color w:val="172033"/>
          <w:sz w:val="22"/>
        </w:rPr>
        <w:t>加密货币市场的另一特征是散户可以低门槛、全天候直接参与。移动交易应用、碎片化购买、永续合约和社交平台降低了开户和信息获取成本，也使注意力、追涨和杠杆交易更容易在短时间集中。价格上升会吸引搜索、讨论和新用户，新参与者的买入又可能推动价格继续上升，形成价格、注意力与进入之间的反馈回路。</w:t>
      </w:r>
    </w:p>
    <w:p>
      <w:pPr>
        <w:spacing w:before="0" w:after="140" w:line="324" w:lineRule="auto"/>
        <w:ind w:firstLine="440"/>
        <w:jc w:val="both"/>
      </w:pPr>
      <w:r>
        <w:rPr>
          <w:rFonts w:ascii="Arial Unicode MS" w:hAnsi="Arial Unicode MS" w:eastAsia="Arial Unicode MS"/>
          <w:b w:val="0"/>
          <w:i w:val="0"/>
          <w:color w:val="172033"/>
          <w:sz w:val="22"/>
        </w:rPr>
        <w:t>Auer et al.（2023）利用 95 个国家的交易应用数据发现，Bitcoin 价格上升后往往出现新用户进入，而且新增用户更多是年轻男性。相关证据还显示，在 2022 年市场动荡中，较小投资者在部分阶段继续买入，而规模较大、经验更丰富的投资者减少风险敞口。这并不意味着所有散户都缺乏理性或具有相同行为，但说明价格驱动的参与扩张是理解加密市场周期的重要机制。</w:t>
      </w:r>
    </w:p>
    <w:p>
      <w:pPr>
        <w:spacing w:before="0" w:after="140" w:line="324" w:lineRule="auto"/>
        <w:ind w:firstLine="440"/>
        <w:jc w:val="both"/>
      </w:pPr>
      <w:r>
        <w:rPr>
          <w:rFonts w:ascii="Arial Unicode MS" w:hAnsi="Arial Unicode MS" w:eastAsia="Arial Unicode MS"/>
          <w:b w:val="0"/>
          <w:i w:val="0"/>
          <w:color w:val="172033"/>
          <w:sz w:val="22"/>
        </w:rPr>
        <w:t>反馈交易可以使上涨和下跌都被放大。上涨期内，收益验证乐观叙事，平台排名和媒体曝光提高可见度，杠杆和跟随交易增加；当新增资金减弱、负面消息出现或强制平仓开始时，同一机制可能反向运行。连续交易和跨平台杠杆使调整缺少传统市场的闭市缓冲，流动性较薄的小币种尤其容易出现跳跃式下跌。由此产生的暴涨暴跌不是单纯的“高波动”，而是投资者信念、传播速度、市场深度和头寸结构相互作用的结果。</w:t>
      </w:r>
    </w:p>
    <w:p>
      <w:pPr>
        <w:pStyle w:val="Heading2"/>
      </w:pPr>
      <w:r>
        <w:t>1.4 社交媒体成为市场基础设施</w:t>
      </w:r>
    </w:p>
    <w:p>
      <w:pPr>
        <w:spacing w:before="0" w:after="140" w:line="324" w:lineRule="auto"/>
        <w:ind w:firstLine="440"/>
        <w:jc w:val="both"/>
      </w:pPr>
      <w:r>
        <w:rPr>
          <w:rFonts w:ascii="Arial Unicode MS" w:hAnsi="Arial Unicode MS" w:eastAsia="Arial Unicode MS"/>
          <w:b w:val="0"/>
          <w:i w:val="0"/>
          <w:color w:val="172033"/>
          <w:sz w:val="22"/>
        </w:rPr>
        <w:t xml:space="preserve">加密货币的信息形成高度依赖公开社交平台。Reddit、X 和 Telegram 不仅传播项目公告和市场观点，也承载社群动员、意见领袖推广、重复口号和短时间协同传播。项目方、交易所、开发者、意见领袖和普通用户可以在同一界面中发布叙事、情绪、价格目标和交易链接，信息与行动之间的距离因此显著缩短；消息可以在数分钟内跨平台扩散，并通过现货、永续合约和链上交易迅速反映到价格中。对流动性较弱、持币集中度较高或社群属性较强的币种而言，这种传播结构可能放大追涨、恐慌和羊群交易。社交媒体因此不再只是外部评论渠道，而成为价格发现的一部分。</w:t>
      </w:r>
    </w:p>
    <w:p>
      <w:pPr>
        <w:spacing w:before="0" w:after="140" w:line="324" w:lineRule="auto"/>
        <w:ind w:firstLine="440"/>
        <w:jc w:val="both"/>
      </w:pPr>
      <w:r>
        <w:rPr>
          <w:rFonts w:ascii="Arial Unicode MS" w:hAnsi="Arial Unicode MS" w:eastAsia="Arial Unicode MS"/>
          <w:b w:val="0"/>
          <w:i w:val="0"/>
          <w:color w:val="172033"/>
          <w:sz w:val="22"/>
        </w:rPr>
        <w:t>与此同时，链上透明并不等于行为含义清晰。大额转账可能是交易所充提、托管整理、跨链桥、质押迁移或场外结算，也可能对应真实的积累和派发。若不识别地址实体和资金方向，简单的“巨鲸转账”指标容易产生误判。同样，消息爆发和文本重复只能说明存在协调传播的迹象，不能直接等同于法律意义上的市场操纵。如何把社交传播、情绪变化、协调特征、交易放大和链上资金方向放在统一时间轴上，是当前市场监测中的现实难题。</w:t>
      </w:r>
    </w:p>
    <w:p>
      <w:pPr>
        <w:spacing w:before="0" w:after="140" w:line="324" w:lineRule="auto"/>
        <w:ind w:firstLine="440"/>
        <w:jc w:val="both"/>
      </w:pPr>
      <w:r>
        <w:rPr>
          <w:rFonts w:ascii="Arial Unicode MS" w:hAnsi="Arial Unicode MS" w:eastAsia="Arial Unicode MS"/>
          <w:b w:val="0"/>
          <w:i w:val="0"/>
          <w:color w:val="172033"/>
          <w:sz w:val="22"/>
        </w:rPr>
        <w:t>交易所、监管机构和风险管理部门需要的并不是事后解释，而是能够说明误报率、提前期和适用边界的预警依据。本研究不以构造交易策略为目的，而是评估哪些公开可观测信号在泡沫形成前具有稳定的信息价值，以及哪些常见指标在严格的样本外检验中并不可靠。</w:t>
      </w:r>
    </w:p>
    <w:p>
      <w:pPr>
        <w:spacing w:before="0" w:after="140" w:line="324" w:lineRule="auto"/>
        <w:ind w:firstLine="440"/>
        <w:jc w:val="both"/>
      </w:pPr>
      <w:r>
        <w:rPr>
          <w:rFonts w:ascii="Arial Unicode MS" w:hAnsi="Arial Unicode MS" w:eastAsia="Arial Unicode MS"/>
          <w:b w:val="0"/>
          <w:i w:val="0"/>
          <w:color w:val="172033"/>
          <w:sz w:val="22"/>
        </w:rPr>
        <w:t>传播量本身并不等于情绪，也不等于操纵。消息数量可能来自真实关注、项目更新、争议事件或机器人活动；平均乐观语调也可能掩盖社群内部强烈分化。更关键的是传播结构：同样数量的消息，可以由大量独立用户自然产生，也可以由少数账户同步重复。本文据此把社交活动拆分为扩散、平均情绪、情绪极化、作者集中和协同推广代理，避免用一个综合“社交热度”指标解释所有过程。</w:t>
      </w:r>
    </w:p>
    <w:p>
      <w:pPr>
        <w:pStyle w:val="Heading2"/>
      </w:pPr>
      <w:r>
        <w:t>1.5 监管转型与市场完整性问题</w:t>
      </w:r>
    </w:p>
    <w:p>
      <w:pPr>
        <w:spacing w:before="0" w:after="140" w:line="324" w:lineRule="auto"/>
        <w:ind w:firstLine="440"/>
        <w:jc w:val="both"/>
      </w:pPr>
      <w:r>
        <w:rPr>
          <w:rFonts w:ascii="Arial Unicode MS" w:hAnsi="Arial Unicode MS" w:eastAsia="Arial Unicode MS"/>
          <w:b w:val="0"/>
          <w:i w:val="0"/>
          <w:color w:val="172033"/>
          <w:sz w:val="22"/>
        </w:rPr>
        <w:t>把加密市场概括为“完全没有监管”已经不准确。欧盟《加密资产市场监管条例》（MiCA）为发行人和服务商建立了统一框架，并于 2024 年底全面适用。IOSCO（2023）围绕利益冲突、市场操纵、托管、跨境合作、运营风险和散户分销提出政策建议。美国批准现货 Bitcoin 交易所交易产品，也表明部分加密敞口开始进入更受监管的金融渠道（SEC, 2024）。</w:t>
      </w:r>
    </w:p>
    <w:p>
      <w:pPr>
        <w:spacing w:before="0" w:after="140" w:line="324" w:lineRule="auto"/>
        <w:ind w:firstLine="440"/>
        <w:jc w:val="both"/>
      </w:pPr>
      <w:r>
        <w:rPr>
          <w:rFonts w:ascii="Arial Unicode MS" w:hAnsi="Arial Unicode MS" w:eastAsia="Arial Unicode MS"/>
          <w:b w:val="0"/>
          <w:i w:val="0"/>
          <w:color w:val="172033"/>
          <w:sz w:val="22"/>
        </w:rPr>
        <w:t>现实问题在于监管仍然分散且执行不均。币种发行、推广、交易、托管和链上结算可能分别位于不同司法辖区；中心化交易所、去中心化协议和公开社交平台适用的规则并不相同。金融稳定理事会（FSB）2025 年专题审查指出，各地实施仍存在明显缺口和不一致，监管套利空间并未消失。一次推广活动可以在一个地区组织，通过全球平台传播，在多家交易所交易，并最终在链上结算，而没有单一机构掌握完整时间序列。</w:t>
      </w:r>
    </w:p>
    <w:p>
      <w:pPr>
        <w:spacing w:before="0" w:after="140" w:line="324" w:lineRule="auto"/>
        <w:ind w:firstLine="440"/>
        <w:jc w:val="both"/>
      </w:pPr>
      <w:r>
        <w:rPr>
          <w:rFonts w:ascii="Arial Unicode MS" w:hAnsi="Arial Unicode MS" w:eastAsia="Arial Unicode MS"/>
          <w:b w:val="0"/>
          <w:i w:val="0"/>
          <w:color w:val="172033"/>
          <w:sz w:val="22"/>
        </w:rPr>
        <w:t>垂直一体化和信息不对称进一步放大市场完整性风险。同一平台可能同时承担上市、交易、做市、托管和数据发布功能；项目方和意见领袖可能持有未充分披露的头寸；自动化账号可以扩大重复内容和虚假共识。监管建设的推进没有降低实证研究的必要性，反而要求更清楚地区分一般关注、自然社群增长、协同推广和潜在操纵，并为误报与漏报提供可审计的统计依据。</w:t>
      </w:r>
    </w:p>
    <w:p>
      <w:pPr>
        <w:pStyle w:val="Heading2"/>
      </w:pPr>
      <w:r>
        <w:t>1.6 研究问题与理论研究的滞后</w:t>
      </w:r>
    </w:p>
    <w:p>
      <w:pPr>
        <w:spacing w:before="0" w:after="140" w:line="324" w:lineRule="auto"/>
        <w:ind w:firstLine="440"/>
        <w:jc w:val="both"/>
      </w:pPr>
      <w:r>
        <w:rPr>
          <w:rFonts w:ascii="Arial Unicode MS" w:hAnsi="Arial Unicode MS" w:eastAsia="Arial Unicode MS"/>
          <w:b w:val="0"/>
          <w:i w:val="0"/>
          <w:color w:val="172033"/>
          <w:sz w:val="22"/>
        </w:rPr>
        <w:t>学术研究的增长速度很快，但研究对象变化更快。早期文献主要围绕 Bitcoin 收益和平均情绪展开，而目前市场已经包含成千上万种异质资产、平台特定社群、衍生品、去中心化交易、代币化应用和可观测链上流动。许多经验结论仍来自单一币种、单一平台和同期相关，难以解释新市场结构中的动态过程。</w:t>
      </w:r>
    </w:p>
    <w:p>
      <w:pPr>
        <w:spacing w:before="0" w:after="140" w:line="324" w:lineRule="auto"/>
        <w:ind w:firstLine="440"/>
        <w:jc w:val="both"/>
      </w:pPr>
      <w:r>
        <w:rPr>
          <w:rFonts w:ascii="Arial Unicode MS" w:hAnsi="Arial Unicode MS" w:eastAsia="Arial Unicode MS"/>
          <w:b w:val="0"/>
          <w:i w:val="0"/>
          <w:color w:val="172033"/>
          <w:sz w:val="22"/>
        </w:rPr>
        <w:t>这种滞后主要表现在三个方面。其一，结果变量常被定义为当期收益、异常涨幅或后来发生的崩盘，不能直接回答可操作的提前预警问题。其二，传播量、情绪和协调推广经常被合并，机制难以识别。其三，即使使用 Granger 检验或领先变量，也很少把巨鲸、推广、扩散、情绪、交易和泡沫进入放到统一事件时间中，更缺乏多币种、锁定样本外测试和独立事件级推断。</w:t>
      </w:r>
    </w:p>
    <w:p>
      <w:pPr>
        <w:spacing w:before="0" w:after="140" w:line="324" w:lineRule="auto"/>
        <w:ind w:firstLine="440"/>
        <w:jc w:val="both"/>
      </w:pPr>
      <w:r>
        <w:rPr>
          <w:rFonts w:ascii="Arial Unicode MS" w:hAnsi="Arial Unicode MS" w:eastAsia="Arial Unicode MS"/>
          <w:b w:val="0"/>
          <w:i w:val="0"/>
          <w:color w:val="172033"/>
          <w:sz w:val="22"/>
        </w:rPr>
        <w:t>本文并不试图证明加密货币“必然形成泡沫”，也不把统计显著的滞后系数自动解释为因果。更具体的问题是：滞后的行为变量能否在市场基准之外预测未来爆炸状态；情绪是否通过协同推广形成可检验的中介关联；经实体识别的巨鲸行为与社交信号是否存在稳定的阶段顺序。只有将预测、机制和时间先后分开，研究才能超越显而易见的正向相关结论。</w:t>
      </w:r>
    </w:p>
    <w:p>
      <w:pPr>
        <w:pStyle w:val="Heading2"/>
      </w:pPr>
      <w:r>
        <w:t>1.7 研究意义</w:t>
      </w:r>
    </w:p>
    <w:p>
      <w:pPr>
        <w:spacing w:before="0" w:after="140" w:line="324" w:lineRule="auto"/>
        <w:ind w:firstLine="440"/>
        <w:jc w:val="both"/>
      </w:pPr>
      <w:r>
        <w:rPr>
          <w:rFonts w:ascii="Arial Unicode MS" w:hAnsi="Arial Unicode MS" w:eastAsia="Arial Unicode MS"/>
          <w:b w:val="0"/>
          <w:i w:val="0"/>
          <w:color w:val="172033"/>
          <w:sz w:val="22"/>
        </w:rPr>
        <w:t xml:space="preserve">在理论上，本研究有助于把行为金融中的情绪定价机制扩展到一个具有连续交易、平台化传播和可观测链上行为的市场。研究不预设情绪必然推高价格，而是区分基础情绪易感性、事件期情绪极化、广泛扩散和协调传播，并考察这些变量在不同流动性、规模和社群属性下是否具有不同作用，从而更具体地讨论情绪何时发挥作用、通过何种可观察过程发挥作用。</w:t>
      </w:r>
    </w:p>
    <w:p>
      <w:pPr>
        <w:spacing w:before="0" w:after="140" w:line="324" w:lineRule="auto"/>
        <w:ind w:firstLine="440"/>
        <w:jc w:val="both"/>
      </w:pPr>
      <w:r>
        <w:rPr>
          <w:rFonts w:ascii="Arial Unicode MS" w:hAnsi="Arial Unicode MS" w:eastAsia="Arial Unicode MS"/>
          <w:b w:val="0"/>
          <w:i w:val="0"/>
          <w:color w:val="172033"/>
          <w:sz w:val="22"/>
        </w:rPr>
        <w:t>在经验和方法上，论文把递归泡沫识别、稀有事件预测、错位中介模型和事件时间分析结合起来，并把预测、时间先后和因果解释分开。多币种、时点化样本以及锁定的时间外测试，可减少单一案例、生存者偏差和样本内拟合对结论的影响。</w:t>
      </w:r>
    </w:p>
    <w:p>
      <w:pPr>
        <w:spacing w:before="0" w:after="140" w:line="324" w:lineRule="auto"/>
        <w:ind w:firstLine="440"/>
        <w:jc w:val="both"/>
      </w:pPr>
      <w:r>
        <w:rPr>
          <w:rFonts w:ascii="Arial Unicode MS" w:hAnsi="Arial Unicode MS" w:eastAsia="Arial Unicode MS"/>
          <w:b w:val="0"/>
          <w:i w:val="0"/>
          <w:color w:val="172033"/>
          <w:sz w:val="22"/>
        </w:rPr>
        <w:t>对投资者保护而言，提前期和校准比单一准确率更重要。一个预警模型即使样本内 AUC 较高，若只能在价格已经爆炸后发出信号，或在正常市场中产生大量误报，就没有实际价值。本文将固定误报率下的召回、Brier score、校准和提前期纳入主要评价，力求使研究结论能够转化为明确的适用边界。</w:t>
      </w:r>
    </w:p>
    <w:p>
      <w:pPr>
        <w:pStyle w:val="Heading2"/>
      </w:pPr>
      <w:r>
        <w:t>1.8 研究创新</w:t>
      </w:r>
    </w:p>
    <w:p>
      <w:pPr>
        <w:spacing w:before="0" w:after="140" w:line="324" w:lineRule="auto"/>
        <w:ind w:firstLine="440"/>
        <w:jc w:val="both"/>
      </w:pPr>
      <w:r>
        <w:rPr>
          <w:rFonts w:ascii="Arial Unicode MS" w:hAnsi="Arial Unicode MS" w:eastAsia="Arial Unicode MS"/>
          <w:b w:val="0"/>
          <w:i w:val="0"/>
          <w:color w:val="172033"/>
          <w:sz w:val="22"/>
        </w:rPr>
        <w:t>第一，研究将预测目标明确设为未来 GSADF/BSADF 泡沫进入，而不是当期收益率、异常上涨或事后崩盘。标签只使用预测起点当时可获得的价格信息，并在多个预测期上评价提前预警能力，从而使研究问题与真实监测场景一致。</w:t>
      </w:r>
    </w:p>
    <w:p>
      <w:pPr>
        <w:spacing w:before="0" w:after="140" w:line="324" w:lineRule="auto"/>
        <w:ind w:firstLine="440"/>
        <w:jc w:val="both"/>
      </w:pPr>
      <w:r>
        <w:rPr>
          <w:rFonts w:ascii="Arial Unicode MS" w:hAnsi="Arial Unicode MS" w:eastAsia="Arial Unicode MS"/>
          <w:b w:val="0"/>
          <w:i w:val="0"/>
          <w:color w:val="172033"/>
          <w:sz w:val="22"/>
        </w:rPr>
        <w:t>第二，研究在时点化多币种面板中同时区分传播强度、情绪水平、情绪极化和协调传播。市场基准模型与行为变量模型采用扩展窗口进行时间外比较，重点检验行为变量是否带来增量信息，而不是只报告样本内显著系数。</w:t>
      </w:r>
    </w:p>
    <w:p>
      <w:pPr>
        <w:spacing w:before="0" w:after="140" w:line="324" w:lineRule="auto"/>
        <w:ind w:firstLine="440"/>
        <w:jc w:val="both"/>
      </w:pPr>
      <w:r>
        <w:rPr>
          <w:rFonts w:ascii="Arial Unicode MS" w:hAnsi="Arial Unicode MS" w:eastAsia="Arial Unicode MS"/>
          <w:b w:val="0"/>
          <w:i w:val="0"/>
          <w:color w:val="172033"/>
          <w:sz w:val="22"/>
        </w:rPr>
        <w:t>第三，研究把协同推广作为基础情绪易感性与未来泡沫进入之间的中介变量，但不把传统三步回归的每个显著系数视为充分证据。主检验采用严格错位的时间窗、分块 bootstrap 间接效应、非线性分解、反向路径和安慰剂检验，使中介方向可以被数据否定。</w:t>
      </w:r>
    </w:p>
    <w:p>
      <w:pPr>
        <w:spacing w:before="0" w:after="140" w:line="324" w:lineRule="auto"/>
        <w:ind w:firstLine="440"/>
        <w:jc w:val="both"/>
      </w:pPr>
      <w:r>
        <w:rPr>
          <w:rFonts w:ascii="Arial Unicode MS" w:hAnsi="Arial Unicode MS" w:eastAsia="Arial Unicode MS"/>
          <w:b w:val="0"/>
          <w:i w:val="0"/>
          <w:color w:val="172033"/>
          <w:sz w:val="22"/>
        </w:rPr>
        <w:t>第四，研究不以原始大额转账代表巨鲸行为，而是使用实体识别后的交易所流入流出、大户余额和持币集中度，并通过事件时间和序列置换检验巨鲸、协调传播、社交扩散、事件期情绪、交易放大与泡沫进入之间是否存在可重复顺序。</w:t>
      </w:r>
    </w:p>
    <w:p>
      <w:pPr>
        <w:spacing w:before="0" w:after="140" w:line="324" w:lineRule="auto"/>
        <w:ind w:firstLine="440"/>
        <w:jc w:val="both"/>
      </w:pPr>
      <w:r>
        <w:rPr>
          <w:rFonts w:ascii="Arial Unicode MS" w:hAnsi="Arial Unicode MS" w:eastAsia="Arial Unicode MS"/>
          <w:b w:val="0"/>
          <w:i w:val="0"/>
          <w:color w:val="172033"/>
          <w:sz w:val="22"/>
        </w:rPr>
        <w:t>本报告同时列出 pilot 已经验证和尚未验证的部分。现有结果只说明数据和模型管道可以运行，不作为 H1、H2 或 H3 成立的先验结论。</w:t>
      </w:r>
    </w:p>
    <w:p>
      <w:pPr>
        <w:spacing w:before="0" w:after="140" w:line="324" w:lineRule="auto"/>
        <w:ind w:firstLine="440"/>
        <w:jc w:val="both"/>
      </w:pPr>
      <w:r>
        <w:rPr>
          <w:rFonts w:ascii="Arial Unicode MS" w:hAnsi="Arial Unicode MS" w:eastAsia="Arial Unicode MS"/>
          <w:b w:val="0"/>
          <w:i w:val="0"/>
          <w:color w:val="172033"/>
          <w:sz w:val="22"/>
        </w:rPr>
        <w:t xml:space="preserve">这些创新并不依赖得到正结果。H1 可能显示社交信号在市场变量之外没有稳定增量；H2 可能支持反向路径或间接效应为零；H3 也可能因实体覆盖不足而降为有边界的扩展章节。预先规定不支持条件、时间外评价与前瞻性样本外的分期规则，以及 go/no-go 规则，本身就是研究设计的一部分。</w:t>
      </w:r>
    </w:p>
    <w:p>
      <w:pPr>
        <w:pStyle w:val="Heading2"/>
      </w:pPr>
      <w:r>
        <w:t>1.9 报告结构</w:t>
      </w:r>
    </w:p>
    <w:p>
      <w:pPr>
        <w:spacing w:before="0" w:after="140" w:line="324" w:lineRule="auto"/>
        <w:ind w:firstLine="440"/>
        <w:jc w:val="both"/>
      </w:pPr>
      <w:r>
        <w:rPr>
          <w:rFonts w:ascii="Arial Unicode MS" w:hAnsi="Arial Unicode MS" w:eastAsia="Arial Unicode MS"/>
          <w:b w:val="0"/>
          <w:i w:val="0"/>
          <w:color w:val="172033"/>
          <w:sz w:val="22"/>
        </w:rPr>
        <w:t xml:space="preserve">第二章系统评述行为金融、散户反馈、注意力扩散、情绪测量、市场操纵、泡沫检测和链上巨鲸研究。第三章在文献评述的基础上界定研究缺口和概念框架，并推导三个主假设及其可证伪预测。第四章说明时点化样本、数据架构、采集条件、覆盖偏差与变量构建；第五章先给出泡沫标签的形式化定义，再分别说明 H1、H2、H3 的估计量与识别条件，并单列功效与独立事件数的模拟方案及统计治理规则。第六章报告 pilot 的可行性证据与证据边界，并集中列出预期贡献。第七章讨论伦理与合规、可复现性、资源与预算、工作计划和研究限制，附录列出打开时间外评价期前必须冻结的决策以及各假设的数据准备度。</w:t>
      </w:r>
    </w:p>
    <w:p>
      <w:pPr>
        <w:pStyle w:val="Heading1"/>
      </w:pPr>
      <w:r>
        <w:t>二、文献综述</w:t>
      </w:r>
    </w:p>
    <w:p>
      <w:pPr>
        <w:pStyle w:val="Heading2"/>
      </w:pPr>
      <w:r>
        <w:t>2.1 行为金融、投资者情绪与套利限制</w:t>
      </w:r>
    </w:p>
    <w:p>
      <w:pPr>
        <w:spacing w:before="0" w:after="140" w:line="324" w:lineRule="auto"/>
        <w:ind w:firstLine="440"/>
        <w:jc w:val="both"/>
      </w:pPr>
      <w:r>
        <w:rPr>
          <w:rFonts w:ascii="Arial Unicode MS" w:hAnsi="Arial Unicode MS" w:eastAsia="Arial Unicode MS"/>
          <w:b w:val="0"/>
          <w:i w:val="0"/>
          <w:color w:val="172033"/>
          <w:sz w:val="22"/>
        </w:rPr>
        <w:t>行为金融理论说明，在理性套利受限时，信念偏差和情绪可以持续影响资产价格。即使套利者识别出错误定价，也可能因修正时间不确定和噪声交易者风险而不愿充分反向交易（De Long et al., 1990）。代表性偏差、保守性、过度自信和意见分歧模型同样可以产生反应不足、动量和最终反转（Barberis et al., 1998；Scheinkman and Xiong, 2003）。经验研究表明，投资者情绪对难以估值、难以套利的资产影响更强（Baker and Wurgler, 2006, 2007）。加密资产的现金流权利不确定、交易历史较短、用途异质、流动性分散且做空受限，是上述理论的典型应用场景。</w:t>
      </w:r>
    </w:p>
    <w:p>
      <w:pPr>
        <w:spacing w:before="0" w:after="140" w:line="324" w:lineRule="auto"/>
        <w:ind w:firstLine="440"/>
        <w:jc w:val="both"/>
      </w:pPr>
      <w:r>
        <w:rPr>
          <w:rFonts w:ascii="Arial Unicode MS" w:hAnsi="Arial Unicode MS" w:eastAsia="Arial Unicode MS"/>
          <w:b w:val="0"/>
          <w:i w:val="0"/>
          <w:color w:val="172033"/>
          <w:sz w:val="22"/>
        </w:rPr>
        <w:t>上述文献支持研究情绪的重要性，但也说明简单的“情绪正向影响泡沫”缺少足够新意。因此，本文将静态关系推进为提前预测、增量信息、机制和异质性问题。理论命题是有条件的：当估值不确定性、注意力集中和套利限制更高时，情绪作用应更强。由此可以检验跨币种差异，而不是预设所有币种都存在同方向系数。</w:t>
      </w:r>
    </w:p>
    <w:p>
      <w:pPr>
        <w:spacing w:before="0" w:after="140" w:line="324" w:lineRule="auto"/>
        <w:ind w:firstLine="440"/>
        <w:jc w:val="both"/>
      </w:pPr>
      <w:r>
        <w:rPr>
          <w:rFonts w:ascii="Arial Unicode MS" w:hAnsi="Arial Unicode MS" w:eastAsia="Arial Unicode MS"/>
          <w:b w:val="0"/>
          <w:i w:val="0"/>
          <w:color w:val="172033"/>
          <w:sz w:val="22"/>
        </w:rPr>
        <w:t>噪声交易者风险理论尤其适用于加密市场。理性交易者即使观察到价格与其判断的价值偏离，也要面对偏离在短期内继续扩大的风险（De Long et al., 1990）。专业套利者又受到资本、风险限额和投资者赎回约束（Shleifer and Vishny, 1997）。在做空工具有限、永续合约清算频繁和交易所风险不均的环境中，价格纠偏的成本可能高于继续观望的成本。</w:t>
      </w:r>
    </w:p>
    <w:p>
      <w:pPr>
        <w:spacing w:before="0" w:after="140" w:line="324" w:lineRule="auto"/>
        <w:ind w:firstLine="440"/>
        <w:jc w:val="both"/>
      </w:pPr>
      <w:r>
        <w:rPr>
          <w:rFonts w:ascii="Arial Unicode MS" w:hAnsi="Arial Unicode MS" w:eastAsia="Arial Unicode MS"/>
          <w:b w:val="0"/>
          <w:i w:val="0"/>
          <w:color w:val="172033"/>
          <w:sz w:val="22"/>
        </w:rPr>
        <w:t>意见分歧与过度自信提供了另一个机制。Scheinkman and Xiong（2003）指出，当悲观者难以充分做空时，资产价格更接近乐观者估值，持有人还会赋予未来转售机会额外价值。加密市场的叙事不确定性、技术门槛和社群认同会扩大意见分歧；价格上涨又通过公开排行榜和社交反馈强化最乐观观点的可见度。因此，情绪并非简单的心理噪声，而可能在特定市场约束下进入价格形成过程。</w:t>
      </w:r>
    </w:p>
    <w:p>
      <w:pPr>
        <w:pStyle w:val="Heading2"/>
      </w:pPr>
      <w:r>
        <w:t>2.2 外推信念、散户进入与反馈回路</w:t>
      </w:r>
    </w:p>
    <w:p>
      <w:pPr>
        <w:spacing w:before="0" w:after="140" w:line="324" w:lineRule="auto"/>
        <w:ind w:firstLine="440"/>
        <w:jc w:val="both"/>
      </w:pPr>
      <w:r>
        <w:rPr>
          <w:rFonts w:ascii="Arial Unicode MS" w:hAnsi="Arial Unicode MS" w:eastAsia="Arial Unicode MS"/>
          <w:b w:val="0"/>
          <w:i w:val="0"/>
          <w:color w:val="172033"/>
          <w:sz w:val="22"/>
        </w:rPr>
        <w:t>泡沫可以由外推信念与新增需求共同推动。近期收益提高乐观预期，乐观预期吸引注意力和新投资者，新资金又验证前期信念。成交量在这一过程中上升，既可能来自外推型买家，也可能来自原持有者获利了结。最终反转未必对应可观察的基本面变化，也可能由新增流入放缓、负面消息、保证金压力或集中派发触发。Shiller（2015）对历史非理性繁荣的讨论表明，价格叙事和社会传播往往与交易行为相互强化。</w:t>
      </w:r>
    </w:p>
    <w:p>
      <w:pPr>
        <w:spacing w:before="0" w:after="140" w:line="324" w:lineRule="auto"/>
        <w:ind w:firstLine="440"/>
        <w:jc w:val="both"/>
      </w:pPr>
      <w:r>
        <w:rPr>
          <w:rFonts w:ascii="Arial Unicode MS" w:hAnsi="Arial Unicode MS" w:eastAsia="Arial Unicode MS"/>
          <w:b w:val="0"/>
          <w:i w:val="0"/>
          <w:color w:val="172033"/>
          <w:sz w:val="22"/>
        </w:rPr>
        <w:t>Liu and Tsyvinski（2021）发现，加密货币收益与市场自身的动量和投资者注意力有关，而与传统货币、商品或宏观因子的关系较弱。Auer et al.（2023）进一步显示，Bitcoin 升值领先于交易应用的新用户进入。这一点对泡沫研究很关键：散户规模不是外生给定的，后续推广所面对的受众会在上涨过程中扩大。如果不控制近期价格与用户进入，情绪变量可能只是动量的替代指标。</w:t>
      </w:r>
    </w:p>
    <w:p>
      <w:pPr>
        <w:spacing w:before="0" w:after="140" w:line="324" w:lineRule="auto"/>
        <w:ind w:firstLine="440"/>
        <w:jc w:val="both"/>
      </w:pPr>
      <w:r>
        <w:rPr>
          <w:rFonts w:ascii="Arial Unicode MS" w:hAnsi="Arial Unicode MS" w:eastAsia="Arial Unicode MS"/>
          <w:b w:val="0"/>
          <w:i w:val="0"/>
          <w:color w:val="172033"/>
          <w:sz w:val="22"/>
        </w:rPr>
        <w:t>散户并不是同质群体。一部分交易者具备技术和风险管理能力，进行系统交易或提供流动性；另一部分更容易受显著收益、社交认同和短期叙事影响。平台组成也不同：Reddit 适合长文本和公开讨论，X 有利于意见领袖和广泛扩散，Telegram 更适合集中社群和同步号召。可信的散户情绪测量必须承认平台用户只代表散户总体的一部分，并检验平台差异而不是直接汇总。</w:t>
      </w:r>
    </w:p>
    <w:p>
      <w:pPr>
        <w:spacing w:before="0" w:after="140" w:line="324" w:lineRule="auto"/>
        <w:ind w:firstLine="440"/>
        <w:jc w:val="both"/>
      </w:pPr>
      <w:r>
        <w:rPr>
          <w:rFonts w:ascii="Arial Unicode MS" w:hAnsi="Arial Unicode MS" w:eastAsia="Arial Unicode MS"/>
          <w:b w:val="0"/>
          <w:i w:val="0"/>
          <w:color w:val="172033"/>
          <w:sz w:val="22"/>
        </w:rPr>
        <w:t>反馈回路也带来识别难题。价格上涨可以同时导致用户进入、发帖增加和语言乐观，因而滞后情绪仍可能只是近期收益的影子。H1 通过市场基准、缓冲窗口和时间外预测检验增量信息；H2 进一步要求基础情绪在协同推广之前测量；H3 则考察积累、推广、扩散、交易和爆炸状态的顺序是否稳定。</w:t>
      </w:r>
    </w:p>
    <w:p>
      <w:pPr>
        <w:pStyle w:val="Heading2"/>
      </w:pPr>
      <w:r>
        <w:t>2.3 投资者注意力与平台化传播</w:t>
      </w:r>
    </w:p>
    <w:p>
      <w:pPr>
        <w:spacing w:before="0" w:after="140" w:line="324" w:lineRule="auto"/>
        <w:ind w:firstLine="440"/>
        <w:jc w:val="both"/>
      </w:pPr>
      <w:r>
        <w:rPr>
          <w:rFonts w:ascii="Arial Unicode MS" w:hAnsi="Arial Unicode MS" w:eastAsia="Arial Unicode MS"/>
          <w:b w:val="0"/>
          <w:i w:val="0"/>
          <w:color w:val="172033"/>
          <w:sz w:val="22"/>
        </w:rPr>
        <w:t>因此，本文作出两项测量区分。第一，传播和情绪分别测量。帖子数量上升不等于语调乐观，平均情绪也可能掩盖极化。第二，预测表现必须按币种类别、平台、预测期和时间阶段评估。只在建模样本内出现的系数，不能被视为有效预警证据。</w:t>
      </w:r>
    </w:p>
    <w:p>
      <w:pPr>
        <w:spacing w:before="0" w:after="140" w:line="324" w:lineRule="auto"/>
        <w:ind w:firstLine="440"/>
        <w:jc w:val="both"/>
      </w:pPr>
      <w:r>
        <w:rPr>
          <w:rFonts w:ascii="Arial Unicode MS" w:hAnsi="Arial Unicode MS" w:eastAsia="Arial Unicode MS"/>
          <w:b w:val="0"/>
          <w:i w:val="0"/>
          <w:color w:val="172033"/>
          <w:sz w:val="22"/>
        </w:rPr>
        <w:t>注意力是一种稀缺资源，资产需要先进入投资者的考虑集合，才可能被交易。Barber and Odean（2008）发现，散户更倾向买入引人注目的股票；Da et al.（2011）使用搜索量直接度量注意力；Tetlock（2007）说明媒体语言包含市场相关信息；Bollen et al.（2011）则较早检验了社交媒体情绪的预测可能性。这些研究共同表明，可见度不是中性背景，而会影响投资者看见什么和采取何种行动。</w:t>
      </w:r>
    </w:p>
    <w:p>
      <w:pPr>
        <w:spacing w:before="0" w:after="140" w:line="324" w:lineRule="auto"/>
        <w:ind w:firstLine="440"/>
        <w:jc w:val="both"/>
      </w:pPr>
      <w:r>
        <w:rPr>
          <w:rFonts w:ascii="Arial Unicode MS" w:hAnsi="Arial Unicode MS" w:eastAsia="Arial Unicode MS"/>
          <w:b w:val="0"/>
          <w:i w:val="0"/>
          <w:color w:val="172033"/>
          <w:sz w:val="22"/>
        </w:rPr>
        <w:t>社交媒体还使注意力具有网络结构。消息数刻画活动强度，独立作者、回复和转发网络、互动、作者集中度及级联速度则描述信息如何移动。同样的发帖量可能来自许多独立用户，也可能来自少数账户的同步行为。若只使用总量，就无法区分自然关注、意见领袖扩散、机器人活动和有组织推广。</w:t>
      </w:r>
    </w:p>
    <w:p>
      <w:pPr>
        <w:spacing w:before="0" w:after="140" w:line="324" w:lineRule="auto"/>
        <w:ind w:firstLine="440"/>
        <w:jc w:val="both"/>
      </w:pPr>
      <w:r>
        <w:rPr>
          <w:rFonts w:ascii="Arial Unicode MS" w:hAnsi="Arial Unicode MS" w:eastAsia="Arial Unicode MS"/>
          <w:b w:val="0"/>
          <w:i w:val="0"/>
          <w:color w:val="172033"/>
          <w:sz w:val="22"/>
        </w:rPr>
        <w:t>跨平台顺序目前研究不足。一条信息可能先在封闭度较高的社区形成，在意见领袖账号中被重新包装，再进入广泛公共平台，最后反映到搜索和主流媒体。分别回归各平台的同期指标会遗漏这种传递。本文保留平台、来源、作者、消息和跨帖关系，使传播被描述为时间上的移动过程，而不是多个平台同时出现的总量。</w:t>
      </w:r>
    </w:p>
    <w:p>
      <w:pPr>
        <w:pStyle w:val="Heading2"/>
      </w:pPr>
      <w:r>
        <w:t>2.4 情绪、情感反应与易感性的测量</w:t>
      </w:r>
    </w:p>
    <w:p>
      <w:pPr>
        <w:spacing w:before="0" w:after="140" w:line="324" w:lineRule="auto"/>
        <w:ind w:firstLine="440"/>
        <w:jc w:val="both"/>
      </w:pPr>
      <w:r>
        <w:rPr>
          <w:rFonts w:ascii="Arial Unicode MS" w:hAnsi="Arial Unicode MS" w:eastAsia="Arial Unicode MS"/>
          <w:b w:val="0"/>
          <w:i w:val="0"/>
          <w:color w:val="172033"/>
          <w:sz w:val="22"/>
        </w:rPr>
        <w:t>加密语境使文本情绪测量更为困难。moon、diamond hands、rug、FUD、bag 和 burn 等词在普通语料中的含义与交易语境不同；讽刺、引用、表情符号和目标价表达也会造成误判。通用金融词典能够提供透明基准，但项目名称、价格目标和广告式语言经常被错误分类。只在普通金融新闻上训练的模型可能无法识别 meme、emoji、缩写和多语种社群表达。</w:t>
      </w:r>
    </w:p>
    <w:p>
      <w:pPr>
        <w:spacing w:before="0" w:after="140" w:line="324" w:lineRule="auto"/>
        <w:ind w:firstLine="440"/>
        <w:jc w:val="both"/>
      </w:pPr>
      <w:r>
        <w:rPr>
          <w:rFonts w:ascii="Arial Unicode MS" w:hAnsi="Arial Unicode MS" w:eastAsia="Arial Unicode MS"/>
          <w:b w:val="0"/>
          <w:i w:val="0"/>
          <w:color w:val="172033"/>
          <w:sz w:val="22"/>
        </w:rPr>
        <w:t>平均语调不是完整的情绪构念。一个社群可以同时存在强烈乐观和强烈恐惧，平均值却接近中性。极端情绪比例、离散度、FOMO、FUD、确定性、紧迫性和价格目标语言，可能比均值更接近投机参与。互动加权情绪可以反映哪些观点获得回应，但也可能放大机器人或少数意见领袖，因此需要与未加权指标并列报告。</w:t>
      </w:r>
    </w:p>
    <w:p>
      <w:pPr>
        <w:spacing w:before="0" w:after="140" w:line="324" w:lineRule="auto"/>
        <w:ind w:firstLine="440"/>
        <w:jc w:val="both"/>
      </w:pPr>
      <w:r>
        <w:rPr>
          <w:rFonts w:ascii="Arial Unicode MS" w:hAnsi="Arial Unicode MS" w:eastAsia="Arial Unicode MS"/>
          <w:b w:val="0"/>
          <w:i w:val="0"/>
          <w:color w:val="172033"/>
          <w:sz w:val="22"/>
        </w:rPr>
        <w:t>本文进一步区分“基础情绪易感性”和“事件期情绪反应”。前者在推广窗口之前测量，描述社群对 FOMO、极端叙事或分化观点的既有暴露；后者测量内容扩散后的情绪变化。如果两者处于同一时间窗，中介检验会退化为同期相关。严格错位的时间设计虽然减少样本量，却是保持 H2 可解释性的必要条件。</w:t>
      </w:r>
    </w:p>
    <w:p>
      <w:pPr>
        <w:spacing w:before="0" w:after="140" w:line="324" w:lineRule="auto"/>
        <w:ind w:firstLine="440"/>
        <w:jc w:val="both"/>
      </w:pPr>
      <w:r>
        <w:rPr>
          <w:rFonts w:ascii="Arial Unicode MS" w:hAnsi="Arial Unicode MS" w:eastAsia="Arial Unicode MS"/>
          <w:b w:val="0"/>
          <w:i w:val="0"/>
          <w:color w:val="172033"/>
          <w:sz w:val="22"/>
        </w:rPr>
        <w:t xml:space="preserve">构念验证将采用分层人工标注和领域外检查。样本覆盖多个币种、市场阶段、平台、语言线索以及容易混淆的讽刺和引用文本，报告 precision、recall、类别平衡、编码者一致性与按币种误差。加密社群的多语种特征必须显式处理：Telegram 与 X 上的中文、俄语、韩语、土耳其语和西班牙语内容占比可观，若不做语言识别与分语言性能评估，情绪指标会在非英语社群系统性失真。自动化账号同样不是脚注问题：由于协同推广是本文的核心中介构念，机器人特征必须作为显式变量进入模型并单独报告，而不是在清洗阶段凭主观判断整体剔除。简单词典保留为 pilot 和透明基准，不作为正式情绪测量的唯一工具。</w:t>
      </w:r>
    </w:p>
    <w:p>
      <w:pPr>
        <w:pStyle w:val="Heading2"/>
      </w:pPr>
      <w:r>
        <w:t xml:space="preserve">2.5 市场操纵、协同行为与协同推广</w:t>
      </w:r>
    </w:p>
    <w:p>
      <w:pPr>
        <w:spacing w:before="0" w:after="140" w:line="324" w:lineRule="auto"/>
        <w:ind w:firstLine="440"/>
        <w:jc w:val="both"/>
      </w:pPr>
      <w:r>
        <w:rPr>
          <w:rFonts w:ascii="Arial Unicode MS" w:hAnsi="Arial Unicode MS" w:eastAsia="Arial Unicode MS"/>
          <w:b w:val="0"/>
          <w:i w:val="0"/>
          <w:color w:val="172033"/>
          <w:sz w:val="22"/>
        </w:rPr>
        <w:t xml:space="preserve">现有研究已经记录了加密货币市场中的操纵与有组织 pump-and-dump。Gandal et al.（2018）识别早期 Bitcoin 生态中的可疑交易；Griffin and Shams（2020）将链上资金流与 2017 年价格支撑联系起来；Kamps and Kleinberg（2018）提出 pump-and-dump 的异常识别规则；Xu and Livshits（2019）在 Telegram 群组层面刻画了 pump 的组织流程并构建了事前预测模型；La Morgia et al.（2023）系统采集 Telegram pump 群并给出实时检测方案，是与本文数据路径最接近的先行研究；Hamrick et al.（2021）刻画其组织生态；Mirtaheri et al.（2021）结合社交和市场信息识别操纵；Dhawan and Putnins（2023）则记录了显著的价格扭曲以及参与者在负期望收益下仍加入的行为。与之相邻的一支文献说明，交易所层面的洗售交易和虚假成交同样普遍（Le Pennec et al., 2021；Cong et al., 2023），这意味着成交量类指标本身也可能被操纵，不能无条件当作“真实参与”的度量。</w:t>
      </w:r>
    </w:p>
    <w:p>
      <w:pPr>
        <w:spacing w:before="0" w:after="140" w:line="324" w:lineRule="auto"/>
        <w:ind w:firstLine="440"/>
        <w:jc w:val="both"/>
      </w:pPr>
      <w:r>
        <w:rPr>
          <w:rFonts w:ascii="Arial Unicode MS" w:hAnsi="Arial Unicode MS" w:eastAsia="Arial Unicode MS"/>
          <w:b w:val="0"/>
          <w:i w:val="0"/>
          <w:color w:val="172033"/>
          <w:sz w:val="22"/>
        </w:rPr>
        <w:t>本文不把每次消息爆发、重复口号或大额转账都认定为法律意义上的操纵，而是构建可观察的“协同推广状态”：同步发帖、近重复文本、作者集中、pump 语言、跨平台传播、异常互动以及与协调推广一致的市场异常。该概念比法律认定更窄于“所有异常”，但又比已确认 pump 事件目录更连续。已知事件用于验证，主面板使用连续代理变量。</w:t>
      </w:r>
    </w:p>
    <w:p>
      <w:pPr>
        <w:spacing w:before="0" w:after="140" w:line="324" w:lineRule="auto"/>
        <w:ind w:firstLine="440"/>
        <w:jc w:val="both"/>
      </w:pPr>
      <w:r>
        <w:rPr>
          <w:rFonts w:ascii="Arial Unicode MS" w:hAnsi="Arial Unicode MS" w:eastAsia="Arial Unicode MS"/>
          <w:b w:val="0"/>
          <w:i w:val="0"/>
          <w:color w:val="172033"/>
          <w:sz w:val="22"/>
        </w:rPr>
        <w:t>已确认的 pump 事件能够提供高置信度标签，但不能覆盖整个市场。二元事件目录往往遗漏强度变化、未成功的尝试和没有公开 pump 口号的协调推广；反过来，把每次消息激增都标记为操纵会产生不可接受的误报。项目发布、交易所上市、空投、软件更新和紧急风险提醒都可能形成同步传播。因此，协同推广指标必须经过已知事件、匹配正常事件和人工判断的多层验证。</w:t>
      </w:r>
    </w:p>
    <w:p>
      <w:pPr>
        <w:spacing w:before="0" w:after="140" w:line="324" w:lineRule="auto"/>
        <w:ind w:firstLine="440"/>
        <w:jc w:val="both"/>
      </w:pPr>
      <w:r>
        <w:rPr>
          <w:rFonts w:ascii="Arial Unicode MS" w:hAnsi="Arial Unicode MS" w:eastAsia="Arial Unicode MS"/>
          <w:b w:val="0"/>
          <w:i w:val="0"/>
          <w:color w:val="172033"/>
          <w:sz w:val="22"/>
        </w:rPr>
        <w:t>H2 与 H1 的差异在这里体现得最清楚。如果只把协同推广加入 H1，所检验的是新增变量是否提高拟合或预测表现；中介设计则追问既有情绪易感性是否与后续推广强度有关，以及推广是否承载了部分未来泡沫进入关联。协同推广可以预测泡沫却不构成中介，也可能形成间接关联而不明显提高预测准确率。分开设置 H1 与 H2 保留了不同估计对象。</w:t>
      </w:r>
    </w:p>
    <w:p>
      <w:pPr>
        <w:pStyle w:val="Heading2"/>
      </w:pPr>
      <w:r>
        <w:t>2.6 泡沫理论、统计爆炸性与提前预警</w:t>
      </w:r>
    </w:p>
    <w:p>
      <w:pPr>
        <w:spacing w:before="0" w:after="140" w:line="324" w:lineRule="auto"/>
        <w:ind w:firstLine="440"/>
        <w:jc w:val="both"/>
      </w:pPr>
      <w:r>
        <w:rPr>
          <w:rFonts w:ascii="Arial Unicode MS" w:hAnsi="Arial Unicode MS" w:eastAsia="Arial Unicode MS"/>
          <w:b w:val="0"/>
          <w:i w:val="0"/>
          <w:color w:val="172033"/>
          <w:sz w:val="22"/>
        </w:rPr>
        <w:t xml:space="preserve">泡沫测量是研究设计的核心。大幅正收益不等于泡沫，依赖后来崩盘的规则则使用了未来信息，二者都不能直接支撑提前预警研究。经验上，加密市场确实存在可以被统计识别的爆炸性阶段（Cheah and Fry, 2015；Agosto et al., 2022；Ben Osman et al., 2024），因此问题不在于爆炸状态是否存在，而在于用什么规则标记它、以及该规则是否可以在不使用未来信息的条件下实时运行。</w:t>
      </w:r>
    </w:p>
    <w:p>
      <w:pPr>
        <w:spacing w:before="0" w:after="140" w:line="324" w:lineRule="auto"/>
        <w:ind w:firstLine="440"/>
        <w:jc w:val="both"/>
      </w:pPr>
      <w:r>
        <w:rPr>
          <w:rFonts w:ascii="Arial Unicode MS" w:hAnsi="Arial Unicode MS" w:eastAsia="Arial Unicode MS"/>
          <w:b w:val="0"/>
          <w:i w:val="0"/>
          <w:color w:val="172033"/>
          <w:sz w:val="22"/>
        </w:rPr>
        <w:t>Agosto et al.（2022）尤其接近本文主题，其结果表明，极化情绪与搜索信息可以为加密市场爆炸性提供提前信号。本文在此基础上进一步将“泡沫进入”设为预测目标，使用多币种面板，区分传播、情绪和协同，并加入巨鲸行为和阶段性时间顺序。</w:t>
      </w:r>
    </w:p>
    <w:p>
      <w:pPr>
        <w:spacing w:before="0" w:after="140" w:line="324" w:lineRule="auto"/>
        <w:ind w:firstLine="440"/>
        <w:jc w:val="both"/>
      </w:pPr>
      <w:r>
        <w:rPr>
          <w:rFonts w:ascii="Arial Unicode MS" w:hAnsi="Arial Unicode MS" w:eastAsia="Arial Unicode MS"/>
          <w:b w:val="0"/>
          <w:i w:val="0"/>
          <w:color w:val="172033"/>
          <w:sz w:val="22"/>
        </w:rPr>
        <w:t>泡沫的经济定义存在争议，原因是基本价值本身难以观察。在加密市场中，网络采用、协议收入、稀缺性、治理和技术路线都可能进入价值判断，却没有适用于所有代币的共同模型。若把泡沫定义为相对某一估值模型的偏离，研究结果会高度依赖更具争议的基本价值假设。递归右尾单位根检验提供了更窄且透明的目标：价格过程是否在某段时期表现为统计爆炸性。</w:t>
      </w:r>
    </w:p>
    <w:p>
      <w:pPr>
        <w:spacing w:before="0" w:after="140" w:line="324" w:lineRule="auto"/>
        <w:ind w:firstLine="440"/>
        <w:jc w:val="both"/>
      </w:pPr>
      <w:r>
        <w:rPr>
          <w:rFonts w:ascii="Arial Unicode MS" w:hAnsi="Arial Unicode MS" w:eastAsia="Arial Unicode MS"/>
          <w:b w:val="0"/>
          <w:i w:val="0"/>
          <w:color w:val="172033"/>
          <w:sz w:val="22"/>
        </w:rPr>
        <w:t>Phillips-Shi-Yu 框架允许识别和日期标记多次爆炸过程（Phillips et al., 2015a, 2015b）。每个时点的 BSADF 统计量与递归临界值比较，可以在不等待后来崩盘的情况下定义进入。该标签不声称价格已经高于可知的内在价值，而是表明价格动态进入爆炸状态。这一克制解释使其更适合提前预警研究。</w:t>
      </w:r>
    </w:p>
    <w:p>
      <w:pPr>
        <w:spacing w:before="0" w:after="140" w:line="324" w:lineRule="auto"/>
        <w:ind w:firstLine="440"/>
        <w:jc w:val="both"/>
      </w:pPr>
      <w:r>
        <w:rPr>
          <w:rFonts w:ascii="Arial Unicode MS" w:hAnsi="Arial Unicode MS" w:eastAsia="Arial Unicode MS"/>
          <w:b w:val="0"/>
          <w:i w:val="0"/>
          <w:color w:val="172033"/>
          <w:sz w:val="22"/>
        </w:rPr>
        <w:t>提前预警还要求严格的信息集。标签必须只使用预测起点可得价格生成，预测变量要在结果窗口之前截止，训练和测试之间设置缓冲。随机交叉验证会把未来市场阶段泄漏到训练中，相邻小时正例又通常属于同一事件，因此评价应采用扩展窗口、事件级重抽样和锁定测试。稀有事件下，PR-AUC、Brier score、校准、固定误报率召回和提前期比单独 ROC-AUC 更有解释力。</w:t>
      </w:r>
    </w:p>
    <w:p>
      <w:pPr>
        <w:spacing w:before="0" w:after="140" w:line="324" w:lineRule="auto"/>
        <w:ind w:firstLine="440"/>
        <w:jc w:val="both"/>
      </w:pPr>
      <w:r>
        <w:rPr>
          <w:rFonts w:ascii="Arial Unicode MS" w:hAnsi="Arial Unicode MS" w:eastAsia="Arial Unicode MS"/>
          <w:b w:val="0"/>
          <w:i w:val="0"/>
          <w:color w:val="172033"/>
          <w:sz w:val="22"/>
        </w:rPr>
        <w:t>标签不确定性也必须报告。临界值会随价格源、滞后、最小窗口、bootstrap 次数、采样频率和持续期规则变化。正式研究将显著提高 bootstrap 重复次数，比较 90%、95% 和 99% 阈值及替代价格来源。只有在合理标签设定下仍然存在的结果，才具有稳健意义。</w:t>
      </w:r>
    </w:p>
    <w:p>
      <w:pPr>
        <w:pStyle w:val="Heading2"/>
      </w:pPr>
      <w:r>
        <w:t>2.7 巨鲸、所有权集中与链上解释</w:t>
      </w:r>
    </w:p>
    <w:p>
      <w:pPr>
        <w:spacing w:before="0" w:after="140" w:line="324" w:lineRule="auto"/>
        <w:ind w:firstLine="440"/>
        <w:jc w:val="both"/>
      </w:pPr>
      <w:r>
        <w:rPr>
          <w:rFonts w:ascii="Arial Unicode MS" w:hAnsi="Arial Unicode MS" w:eastAsia="Arial Unicode MS"/>
          <w:b w:val="0"/>
          <w:i w:val="0"/>
          <w:color w:val="172033"/>
          <w:sz w:val="22"/>
        </w:rPr>
        <w:t>因此，H3 使用经实体识别的交易所流入流出、大户余额变化、集中度和转账类别，并明确排除“所有巨鲸都是操纵者”的命题。本文要识别的是大户在泡沫进入前、峰值附近和退出前更接近积累、派发、跟随、提供流动性，还是不存在稳定角色。</w:t>
      </w:r>
    </w:p>
    <w:p>
      <w:pPr>
        <w:spacing w:before="0" w:after="140" w:line="324" w:lineRule="auto"/>
        <w:ind w:firstLine="440"/>
        <w:jc w:val="both"/>
      </w:pPr>
      <w:r>
        <w:rPr>
          <w:rFonts w:ascii="Arial Unicode MS" w:hAnsi="Arial Unicode MS" w:eastAsia="Arial Unicode MS"/>
          <w:b w:val="0"/>
          <w:i w:val="0"/>
          <w:color w:val="172033"/>
          <w:sz w:val="22"/>
        </w:rPr>
        <w:t>实体识别是巨鲸研究的测量前提。Makarov and Schoar（2021）说明，将地址与经济实体连接会改变对 Bitcoin 交易和所有权集中的判断。Benedetti and Rodríguez-Garnica（2025）进一步区分交易所供给压力和一般链上使用；Saggu（2022）则表明公开 whale alert、稳定币供给事件和市场情绪之间存在复杂互动。共同结论是，原始转账金额不能直接转换为买入或卖出解释。</w:t>
      </w:r>
    </w:p>
    <w:p>
      <w:pPr>
        <w:spacing w:before="0" w:after="140" w:line="324" w:lineRule="auto"/>
        <w:ind w:firstLine="440"/>
        <w:jc w:val="both"/>
      </w:pPr>
      <w:r>
        <w:rPr>
          <w:rFonts w:ascii="Arial Unicode MS" w:hAnsi="Arial Unicode MS" w:eastAsia="Arial Unicode MS"/>
          <w:b w:val="0"/>
          <w:i w:val="0"/>
          <w:color w:val="172033"/>
          <w:sz w:val="22"/>
        </w:rPr>
        <w:t>链上透明也可能制造错误确定性。交易所内部归集、托管重组、桥接、质押和合约迁移会形成很大的可见流量，却不一定产生市场方向。本文要求核心巨鲸变量同时具备实体、方向和置信度，并按泡沫进入前、峰值附近和退出后分别估计。若内部转账和托管过滤后结果消失，应视为不支持 H3，而不是改用未经识别的 whale alert 填补数据缺口。</w:t>
      </w:r>
    </w:p>
    <w:p>
      <w:pPr>
        <w:pStyle w:val="Heading2"/>
      </w:pPr>
      <w:r>
        <w:t>2.8 解释、预测、中介与时间先后的边界</w:t>
      </w:r>
    </w:p>
    <w:p>
      <w:pPr>
        <w:spacing w:before="0" w:after="140" w:line="324" w:lineRule="auto"/>
        <w:ind w:firstLine="440"/>
        <w:jc w:val="both"/>
      </w:pPr>
      <w:r>
        <w:rPr>
          <w:rFonts w:ascii="Arial Unicode MS" w:hAnsi="Arial Unicode MS" w:eastAsia="Arial Unicode MS"/>
          <w:b w:val="0"/>
          <w:i w:val="0"/>
          <w:color w:val="172033"/>
          <w:sz w:val="22"/>
        </w:rPr>
        <w:t>经验金融中，一个变量定义清楚并不意味着显著滞后系数可以回答所有问题。解释模型关注条件关联；预测模型关心未见数据上的表现；中介模型关注直接与间接路径；Granger 或领先滞后检验最多提供预测顺序。Shmueli（2010）强调，具有显著系数的行为模型可能没有预测价值，而表现良好的预测模型也未必识别因果机制。</w:t>
      </w:r>
    </w:p>
    <w:p>
      <w:pPr>
        <w:spacing w:before="0" w:after="140" w:line="324" w:lineRule="auto"/>
        <w:ind w:firstLine="440"/>
        <w:jc w:val="both"/>
      </w:pPr>
      <w:r>
        <w:rPr>
          <w:rFonts w:ascii="Arial Unicode MS" w:hAnsi="Arial Unicode MS" w:eastAsia="Arial Unicode MS"/>
          <w:b w:val="0"/>
          <w:i w:val="0"/>
          <w:color w:val="172033"/>
          <w:sz w:val="22"/>
        </w:rPr>
        <w:t>H1 因而被明确设为预测问题。模型只能使用过去信息，采用透明市场基准、扩展窗口、预设预测期和锁定测试，并同时报告校准和提前期。若社交变量只在样本内显著，或改进来自当前泡沫状态与标签泄漏，H1 不得到支持。</w:t>
      </w:r>
    </w:p>
    <w:p>
      <w:pPr>
        <w:spacing w:before="0" w:after="140" w:line="324" w:lineRule="auto"/>
        <w:ind w:firstLine="440"/>
        <w:jc w:val="both"/>
      </w:pPr>
      <w:r>
        <w:rPr>
          <w:rFonts w:ascii="Arial Unicode MS" w:hAnsi="Arial Unicode MS" w:eastAsia="Arial Unicode MS"/>
          <w:b w:val="0"/>
          <w:i w:val="0"/>
          <w:color w:val="172033"/>
          <w:sz w:val="22"/>
        </w:rPr>
        <w:t>H2 是机制问题。传统三步回归提供直观诊断，但非线性模型尺度变化、时间窗重叠和未观测混杂都会影响解释。正式推断使用分块 bootstrap 间接效应、KHB 分解、替代中介定义、逐项剔除和敏感性分析。没有更强识别设计时，结果称为“中介关联”，不直接表述为因果中介。</w:t>
      </w:r>
    </w:p>
    <w:p>
      <w:pPr>
        <w:spacing w:before="0" w:after="140" w:line="324" w:lineRule="auto"/>
        <w:ind w:firstLine="440"/>
        <w:jc w:val="both"/>
      </w:pPr>
      <w:r>
        <w:rPr>
          <w:rFonts w:ascii="Arial Unicode MS" w:hAnsi="Arial Unicode MS" w:eastAsia="Arial Unicode MS"/>
          <w:b w:val="0"/>
          <w:i w:val="0"/>
          <w:color w:val="172033"/>
          <w:sz w:val="22"/>
        </w:rPr>
        <w:t>H3 是时间先后问题。事件时间图、局部投影、Panel VAR 和 Granger-style 检验可以显示一个信号是否领先另一个信号，却不能排除共同新闻或平台外协调。本文把反向路径、非目标币和时间置换结果视为正式结果的一部分，并将法律操纵判断排除在统计模型的权限之外。</w:t>
      </w:r>
    </w:p>
    <w:p>
      <w:pPr>
        <w:pStyle w:val="Heading2"/>
      </w:pPr>
      <w:r>
        <w:t>2.9 文献评述与研究定位</w:t>
      </w:r>
    </w:p>
    <w:p>
      <w:pPr>
        <w:spacing w:before="0" w:after="140" w:line="324" w:lineRule="auto"/>
        <w:ind w:firstLine="440"/>
        <w:jc w:val="both"/>
      </w:pPr>
      <w:r>
        <w:rPr>
          <w:rFonts w:ascii="Arial Unicode MS" w:hAnsi="Arial Unicode MS" w:eastAsia="Arial Unicode MS"/>
          <w:b w:val="0"/>
          <w:i w:val="0"/>
          <w:color w:val="172033"/>
          <w:sz w:val="22"/>
        </w:rPr>
        <w:t>现有研究已经分别说明了投资者情绪、社交媒体活动、pump-and-dump 组织、大额链上流动和价格爆炸过程的重要性，但这些证据尚未形成一致的泡沫提前预警框架。部分研究使用同期收益或交易量作为结果变量，难以区分信息领先与价格反向驱动；部分研究集中于 Bitcoin、单个平台或少量已知操纵事件，结论能否推广到不同币种仍不清楚；链上研究也常因缺少实体和方向识别而难以解释大额转账的经济含义。</w:t>
      </w:r>
    </w:p>
    <w:p>
      <w:pPr>
        <w:spacing w:before="0" w:after="140" w:line="324" w:lineRule="auto"/>
        <w:ind w:firstLine="440"/>
        <w:jc w:val="both"/>
      </w:pPr>
      <w:r>
        <w:rPr>
          <w:rFonts w:ascii="Arial Unicode MS" w:hAnsi="Arial Unicode MS" w:eastAsia="Arial Unicode MS"/>
          <w:b w:val="0"/>
          <w:i w:val="0"/>
          <w:color w:val="172033"/>
          <w:sz w:val="22"/>
        </w:rPr>
        <w:t>另一个不足是传播、情绪和操纵常被放在同一个综合指标中。消息数量、平均语调、极端情绪和协同传播反映的是不同现象，若不分开测量，就难以判断预测信息究竟来自广泛注意力、情绪分化还是人为放大的传播过程。现有文献对这些变量之间的先后关系讨论也较少。</w:t>
      </w:r>
    </w:p>
    <w:p>
      <w:pPr>
        <w:spacing w:before="0" w:after="140" w:line="324" w:lineRule="auto"/>
        <w:ind w:firstLine="440"/>
        <w:jc w:val="both"/>
      </w:pPr>
      <w:r>
        <w:rPr>
          <w:rFonts w:ascii="Arial Unicode MS" w:hAnsi="Arial Unicode MS" w:eastAsia="Arial Unicode MS"/>
          <w:b w:val="0"/>
          <w:i w:val="0"/>
          <w:color w:val="172033"/>
          <w:sz w:val="22"/>
        </w:rPr>
        <w:t>因此，本文的切入点不是再次检验“情绪是否影响价格”，而是考察滞后的行为信号能否预测未来泡沫进入，协同推广是否构成可检验的中介环节，以及巨鲸和社交信号是否存在跨币种可重复的阶段顺序。下章据此提出研究问题并界定样本和推断边界。</w:t>
      </w:r>
    </w:p>
    <w:p>
      <w:pPr>
        <w:spacing w:before="0" w:after="140" w:line="324" w:lineRule="auto"/>
        <w:ind w:firstLine="440"/>
        <w:jc w:val="both"/>
      </w:pPr>
      <w:r>
        <w:rPr>
          <w:rFonts w:ascii="Arial Unicode MS" w:hAnsi="Arial Unicode MS" w:eastAsia="Arial Unicode MS"/>
          <w:b w:val="0"/>
          <w:i w:val="0"/>
          <w:color w:val="172033"/>
          <w:sz w:val="22"/>
        </w:rPr>
        <w:t>已有文献构成了必要基础：行为金融解释情绪和套利限制，注意力研究说明可见度影响交易，操纵研究提供已知事件和协调特征，GSADF/BSADF 给出可重复的爆炸状态标签，链上研究则揭示方向和实体识别的重要性。然而，这些证据仍是分散的，尚未形成同一时间轴上的多币种提前预警设计。</w:t>
      </w:r>
    </w:p>
    <w:p>
      <w:pPr>
        <w:spacing w:before="0" w:after="140" w:line="324" w:lineRule="auto"/>
        <w:ind w:firstLine="440"/>
        <w:jc w:val="both"/>
      </w:pPr>
      <w:r>
        <w:rPr>
          <w:rFonts w:ascii="Arial Unicode MS" w:hAnsi="Arial Unicode MS" w:eastAsia="Arial Unicode MS"/>
          <w:b w:val="0"/>
          <w:i w:val="0"/>
          <w:color w:val="172033"/>
          <w:sz w:val="22"/>
        </w:rPr>
        <w:t>研究定位因此位于行为金融、信息扩散、市场完整性和统计泡沫识别的交叉处。本文的贡献不在于宣称乐观帖子会推高价格，而在于预先规定一个可被否定的预测检验、一个有边界的中介机制和一个重复时间顺序检验。结果可能是正向、为零、反向或依资产类别而异，任何一种都应按照相同报告标准进入论文。</w:t>
      </w:r>
    </w:p>
    <w:p>
      <w:pPr>
        <w:keepNext/>
        <w:spacing w:before="40" w:after="40"/>
        <w:jc w:val="left"/>
      </w:pPr>
      <w:r>
        <w:rPr>
          <w:rFonts w:ascii="Arial Unicode MS" w:hAnsi="Arial Unicode MS" w:eastAsia="Arial Unicode MS"/>
          <w:b/>
          <w:i w:val="0"/>
          <w:color w:val="172033"/>
          <w:sz w:val="16"/>
        </w:rPr>
        <w:t>表 1. 文献脉络与本文增量贡献</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2527"/>
        <w:gridCol w:w="2888"/>
        <w:gridCol w:w="2257"/>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文献方向</w:t>
            </w:r>
          </w:p>
        </w:tc>
        <w:tc>
          <w:tcPr>
            <w:tcW w:type="dxa" w:w="252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已有证据</w:t>
            </w:r>
          </w:p>
        </w:tc>
        <w:tc>
          <w:tcPr>
            <w:tcW w:type="dxa" w:w="2888"/>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尚存不足</w:t>
            </w:r>
          </w:p>
        </w:tc>
        <w:tc>
          <w:tcPr>
            <w:tcW w:type="dxa" w:w="225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本文处理</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金融创新与代币经济</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区块链降低部分验证和网络成本；代币价值可依赖采用和网络效应</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技术效用不能提供统一估值锚，也不保证市场质量</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把创新和投机视为共存特征，检验统计爆炸性而非预设内在价值</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行为情绪</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情绪在难估值、难套利资产中作用更强</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直接正向关系较显然，且常使用同期变量</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检验条件性、滞后、增量和时间外泡沫进入预测</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散户反馈</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价格上升吸引新用户和注意力</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用户进入、情绪和价格共同内生</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使用严格时序、市场基准、缓冲和反向路径诊断</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社交媒体</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语调、注意力和互动对部分加密结果有预测力</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结果随平台、频率、币种和指标变化</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在多币面板中区分扩散、水平、极化与协调传播</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市场操纵</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Pump 群和可疑交易可产生大幅扭曲</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已确认事件研究难以刻画连续传播状态</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构建经过验证的连续协同和协同推广代理变量</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成交量与洗售交易</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交易所层面存在大量虚假成交与洗售（Le Pennec et al., 2021；Cong et al., 2023）</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成交量常被直接当作“真实参与”的度量</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成交量类控制变量同时报告经洗售调整与未调整版本，并作稳健性对比</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泡沫检测</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GSADF/BSADF 可标记多次爆炸性过程</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多数研究偏描述或只覆盖少数币种</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预测未来进入，并比较多个币种的提前期</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巨鲸与链上</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方向性交易所流向和大户信号可能影响收益</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原始大额转账含义不清，阶段角色与社交顺序不足</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使用实体识别指标和分阶段时间顺序检验</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预测与因果</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滞后系数、预测表现和中介对应不同问题</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现有研究经常混合这些主张</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分别规定 H1、H2、H3 的估计量、验证规则和表述边界</w:t>
            </w:r>
          </w:p>
        </w:tc>
      </w:tr>
    </w:tbl>
    <w:p>
      <w:pPr>
        <w:spacing w:after="20"/>
      </w:pPr>
    </w:p>
    <w:p>
      <w:pPr>
        <w:pStyle w:val="Heading1"/>
      </w:pPr>
      <w:r>
        <w:t>三、研究问题、理论框架与研究假设</w:t>
      </w:r>
    </w:p>
    <w:p>
      <w:pPr>
        <w:pStyle w:val="Heading2"/>
      </w:pPr>
      <w:r>
        <w:t>3.1 研究缺口、问题与边界</w:t>
      </w:r>
    </w:p>
    <w:p>
      <w:pPr>
        <w:spacing w:before="0" w:after="140" w:line="324" w:lineRule="auto"/>
        <w:ind w:firstLine="440"/>
        <w:jc w:val="both"/>
      </w:pPr>
      <w:r>
        <w:rPr>
          <w:rFonts w:ascii="Arial Unicode MS" w:hAnsi="Arial Unicode MS" w:eastAsia="Arial Unicode MS"/>
          <w:b w:val="0"/>
          <w:i w:val="0"/>
          <w:color w:val="172033"/>
          <w:sz w:val="22"/>
        </w:rPr>
        <w:t>现有研究首先留下的是预测问题。许多论文检验情绪与收益的同期相关或 Granger 预测，但这类结果未必能够转化为提前预警。本文要求滞后的社交变量在透明的市场基准之外提高未来泡沫进入预测，并在锁定测试期保持改进。</w:t>
      </w:r>
    </w:p>
    <w:p>
      <w:pPr>
        <w:spacing w:before="0" w:after="140" w:line="324" w:lineRule="auto"/>
        <w:ind w:firstLine="440"/>
        <w:jc w:val="both"/>
      </w:pPr>
      <w:r>
        <w:rPr>
          <w:rFonts w:ascii="Arial Unicode MS" w:hAnsi="Arial Unicode MS" w:eastAsia="Arial Unicode MS"/>
          <w:b w:val="0"/>
          <w:i w:val="0"/>
          <w:color w:val="172033"/>
          <w:sz w:val="22"/>
        </w:rPr>
        <w:t>机制问题也尚未解决。H2 不是在 H1 中多加入一个控制变量，而是检验散户既有情绪易感性是否使协调推广内容更容易传播，进而提高未来泡沫进入风险。该路径可与“操纵先制造情绪”的竞争路径通过错位时间窗区分。预设方向是主检验，反向路径则用于证伪和修正理论。</w:t>
      </w:r>
    </w:p>
    <w:p>
      <w:pPr>
        <w:spacing w:before="0" w:after="140" w:line="324" w:lineRule="auto"/>
        <w:ind w:firstLine="440"/>
        <w:jc w:val="both"/>
      </w:pPr>
      <w:r>
        <w:rPr>
          <w:rFonts w:ascii="Arial Unicode MS" w:hAnsi="Arial Unicode MS" w:eastAsia="Arial Unicode MS"/>
          <w:b w:val="0"/>
          <w:i w:val="0"/>
          <w:color w:val="172033"/>
          <w:sz w:val="22"/>
        </w:rPr>
        <w:t>巨鲸研究的主要困难在于时间顺序和阶段差异。大户在进入前、高位和退出前可能发挥相反作用，单一全样本系数会把这些作用平均掉。本文因此按相对事件时间对齐，估计阶段性动态反应，并检验不同信号是否按照预设顺序出现。</w:t>
      </w:r>
    </w:p>
    <w:p>
      <w:pPr>
        <w:spacing w:before="0" w:after="140" w:line="324" w:lineRule="auto"/>
        <w:ind w:firstLine="440"/>
        <w:jc w:val="both"/>
      </w:pPr>
      <w:r>
        <w:rPr>
          <w:rFonts w:ascii="Arial Unicode MS" w:hAnsi="Arial Unicode MS" w:eastAsia="Arial Unicode MS"/>
          <w:b w:val="0"/>
          <w:i w:val="0"/>
          <w:color w:val="172033"/>
          <w:sz w:val="22"/>
        </w:rPr>
        <w:t>外部有效性同样需要通过研究设计处理。单一 XRP、Bitcoin 或 meme coin 案例不能建立市场规律。正式研究采用时点化多币种样本，并预设按市值、流动性、meme/社群属性、链类型与上市时间进行异质性检验。</w:t>
      </w:r>
    </w:p>
    <w:p>
      <w:pPr>
        <w:spacing w:before="0" w:after="140" w:line="324" w:lineRule="auto"/>
        <w:ind w:firstLine="440"/>
        <w:jc w:val="both"/>
      </w:pPr>
      <w:r>
        <w:rPr>
          <w:rFonts w:ascii="Arial Unicode MS" w:hAnsi="Arial Unicode MS" w:eastAsia="Arial Unicode MS"/>
          <w:b w:val="0"/>
          <w:i w:val="0"/>
          <w:color w:val="172033"/>
          <w:sz w:val="22"/>
        </w:rPr>
        <w:t>本研究设置三个主要研究问题：</w:t>
      </w:r>
    </w:p>
    <w:p>
      <w:pPr>
        <w:pStyle w:val="ListBullet"/>
      </w:pPr>
      <w:r>
        <w:rPr>
          <w:rFonts w:ascii="Arial Unicode MS" w:hAnsi="Arial Unicode MS" w:eastAsia="Arial Unicode MS"/>
          <w:b/>
          <w:i w:val="0"/>
          <w:color w:val="172033"/>
          <w:sz w:val="21"/>
        </w:rPr>
        <w:t>RQ1：</w:t>
      </w:r>
      <w:r>
        <w:rPr>
          <w:rFonts w:ascii="Arial Unicode MS" w:hAnsi="Arial Unicode MS" w:eastAsia="Arial Unicode MS"/>
          <w:b w:val="0"/>
          <w:i w:val="0"/>
          <w:color w:val="172033"/>
          <w:sz w:val="21"/>
        </w:rPr>
        <w:t>滞后的社交媒体传播与散户情绪能否在市场信息之外改善未来 GSADF/BSADF 泡沫进入预测？其作用在哪类资产和预测期更强？</w:t>
      </w:r>
    </w:p>
    <w:p>
      <w:pPr>
        <w:pStyle w:val="ListBullet"/>
      </w:pPr>
      <w:r>
        <w:rPr>
          <w:rFonts w:ascii="Arial Unicode MS" w:hAnsi="Arial Unicode MS" w:eastAsia="Arial Unicode MS"/>
          <w:b/>
          <w:i w:val="0"/>
          <w:color w:val="172033"/>
          <w:sz w:val="21"/>
        </w:rPr>
        <w:t>RQ2：</w:t>
      </w:r>
      <w:r>
        <w:rPr>
          <w:rFonts w:ascii="Arial Unicode MS" w:hAnsi="Arial Unicode MS" w:eastAsia="Arial Unicode MS"/>
          <w:b w:val="0"/>
          <w:i w:val="0"/>
          <w:color w:val="172033"/>
          <w:sz w:val="21"/>
        </w:rPr>
        <w:t>散户基础情绪易感性与未来泡沫进入之间的关系，是否部分通过可观察的协同推广机制实现？</w:t>
      </w:r>
    </w:p>
    <w:p>
      <w:pPr>
        <w:pStyle w:val="ListBullet"/>
      </w:pPr>
      <w:r>
        <w:rPr>
          <w:rFonts w:ascii="Arial Unicode MS" w:hAnsi="Arial Unicode MS" w:eastAsia="Arial Unicode MS"/>
          <w:b/>
          <w:i w:val="0"/>
          <w:color w:val="172033"/>
          <w:sz w:val="21"/>
        </w:rPr>
        <w:t>RQ3：</w:t>
      </w:r>
      <w:r>
        <w:rPr>
          <w:rFonts w:ascii="Arial Unicode MS" w:hAnsi="Arial Unicode MS" w:eastAsia="Arial Unicode MS"/>
          <w:b w:val="0"/>
          <w:i w:val="0"/>
          <w:color w:val="172033"/>
          <w:sz w:val="21"/>
        </w:rPr>
        <w:t>经实体识别的巨鲸/链上行为是否具有阶段性预测作用？巨鲸或协同信号、社交扩散、事件期情绪极化、交易放大与泡沫进入或退出之间是否存在重复顺序？</w:t>
      </w:r>
    </w:p>
    <w:p>
      <w:pPr>
        <w:spacing w:before="0" w:after="140" w:line="324" w:lineRule="auto"/>
        <w:ind w:firstLine="440"/>
        <w:jc w:val="both"/>
      </w:pPr>
      <w:r>
        <w:rPr>
          <w:rFonts w:ascii="Arial Unicode MS" w:hAnsi="Arial Unicode MS" w:eastAsia="Arial Unicode MS"/>
          <w:b w:val="0"/>
          <w:i w:val="0"/>
          <w:color w:val="172033"/>
          <w:sz w:val="22"/>
        </w:rPr>
        <w:t xml:space="preserve">主要观测单位为币种-日，小时级模型用于 Telegram 爆发窗口的机制检验与稳健性。这一选择与开题前的初步设定相反，理由有三：第一，PSY 递归检验的最小窗口规则与临界值在 T 达到数万时会标记大量极短 episode，日度频率下标签更稳定；第二，小时级序列存在明显的日内季节性，会污染爆发特征；第三，链上指标的自然更新频率接近日度，以小时为主频率会迫使大量变量向前填充，与第四章的时间对齐规则冲突。主要样本期为 2021-2025 年。稳定币、杠杆或反向代币、合成复制品、同一底层资产的重复 wrapped token，以及缺少递归泡沫检验所需历史的资产将被排除。</w:t>
      </w:r>
    </w:p>
    <w:p>
      <w:pPr>
        <w:pStyle w:val="Heading2"/>
      </w:pPr>
      <w:r>
        <w:t>3.2 概念框架</w:t>
      </w:r>
    </w:p>
    <w:p>
      <w:pPr>
        <w:spacing w:before="0" w:after="140" w:line="324" w:lineRule="auto"/>
        <w:ind w:firstLine="440"/>
        <w:jc w:val="both"/>
      </w:pPr>
      <w:r>
        <w:rPr>
          <w:rFonts w:ascii="Arial Unicode MS" w:hAnsi="Arial Unicode MS" w:eastAsia="Arial Unicode MS"/>
          <w:b w:val="0"/>
          <w:i w:val="0"/>
          <w:color w:val="172033"/>
          <w:sz w:val="22"/>
        </w:rPr>
        <w:t>研究框架区分“基础情绪易感性”与“事件期情绪极化”。基础情绪易感性在协同推广窗口之前测量，反映社群既有的 FOMO、极端情绪比例或情绪分化。随后使用协同、重复、作者集中和 pump 导向内容测量协同推广。若协同推广成功，它可能扩大社交扩散并使事件期情绪进一步极化，继而放大交易活动，最终由 BSADF 识别出泡沫进入。</w:t>
      </w:r>
    </w:p>
    <w:p>
      <w:pPr>
        <w:spacing w:before="0" w:after="140" w:line="324" w:lineRule="auto"/>
        <w:ind w:firstLine="440"/>
        <w:jc w:val="both"/>
      </w:pPr>
      <w:r>
        <w:rPr>
          <w:rFonts w:ascii="Arial Unicode MS" w:hAnsi="Arial Unicode MS" w:eastAsia="Arial Unicode MS"/>
          <w:b w:val="0"/>
          <w:i w:val="0"/>
          <w:color w:val="172033"/>
          <w:sz w:val="22"/>
        </w:rPr>
        <w:t>这一划分协调了两种可能方向。H2 的主路径是“基础情绪易感性 -&gt; 协同推广 -&gt; 未来泡沫进入”；H3 的完整动态允许“协同推广 -&gt; 扩散 -&gt; 事件期情绪极化 -&gt; 交易放大 -&gt; 泡沫进入”。因此，操纵先影响情绪的路径并未被排除，而是作为时间顺序中的竞争机制进行检验。</w:t>
      </w:r>
    </w:p>
    <w:p>
      <w:pPr>
        <w:keepNext/>
        <w:spacing w:before="60" w:after="4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research_framework_committee_zh_20260718.png"/>
                    <pic:cNvPicPr/>
                  </pic:nvPicPr>
                  <pic:blipFill>
                    <a:blip r:embed="rId11"/>
                    <a:stretch>
                      <a:fillRect/>
                    </a:stretch>
                  </pic:blipFill>
                  <pic:spPr>
                    <a:xfrm>
                      <a:off x="0" y="0"/>
                      <a:ext cx="5486400" cy="3291840"/>
                    </a:xfrm>
                    <a:prstGeom prst="rect"/>
                  </pic:spPr>
                </pic:pic>
              </a:graphicData>
            </a:graphic>
          </wp:inline>
        </w:drawing>
      </w:r>
    </w:p>
    <w:p>
      <w:pPr>
        <w:spacing w:before="20" w:after="80"/>
        <w:jc w:val="center"/>
      </w:pPr>
      <w:r>
        <w:rPr>
          <w:rFonts w:ascii="Arial Unicode MS" w:hAnsi="Arial Unicode MS" w:eastAsia="Arial Unicode MS"/>
          <w:b w:val="0"/>
          <w:i/>
          <w:color w:val="5B6573"/>
          <w:sz w:val="17"/>
        </w:rPr>
        <w:t>图 1. 拟议研究框架。各变量采用错位时间窗；实线和虚线路径均为待检验假设，不代表因果关系已经成立。</w:t>
      </w:r>
    </w:p>
    <w:p>
      <w:pPr>
        <w:spacing w:before="0" w:after="140" w:line="324" w:lineRule="auto"/>
        <w:ind w:firstLine="440"/>
        <w:jc w:val="both"/>
      </w:pPr>
      <w:r>
        <w:rPr>
          <w:rFonts w:ascii="Arial Unicode MS" w:hAnsi="Arial Unicode MS" w:eastAsia="Arial Unicode MS"/>
          <w:b w:val="0"/>
          <w:i w:val="0"/>
          <w:color w:val="172033"/>
          <w:sz w:val="22"/>
        </w:rPr>
        <w:t>本文严格限制因果表述。H1 属于预测检验，H3 主要提供时间先后和动态反应证据。H2 可以在观测数据假设下称为“中介关联”；若要解释为因果中介，还需要在给定控制变量后不存在未观测的前因-结果、前因-中介和中介-结果混杂，时间顺序正确，且没有不适当的处理后控制（Imai et al., 2010）。观测性加密数据无法保证这些条件，因此必须进行敏感性分析并使用克制表述。</w:t>
      </w:r>
    </w:p>
    <w:p>
      <w:pPr>
        <w:pStyle w:val="Heading2"/>
      </w:pPr>
      <w:r>
        <w:t>3.3 从文献评述到研究假设：理论逻辑的起点</w:t>
      </w:r>
    </w:p>
    <w:p>
      <w:pPr>
        <w:spacing w:before="0" w:after="140" w:line="324" w:lineRule="auto"/>
        <w:ind w:firstLine="440"/>
        <w:jc w:val="both"/>
      </w:pPr>
      <w:r>
        <w:rPr>
          <w:rFonts w:ascii="Arial Unicode MS" w:hAnsi="Arial Unicode MS" w:eastAsia="Arial Unicode MS"/>
          <w:b w:val="0"/>
          <w:i w:val="0"/>
          <w:color w:val="172033"/>
          <w:sz w:val="22"/>
        </w:rPr>
        <w:t>第二章的文献评述形成了五项相互衔接、但尚未被放入同一经验框架的认识。第一，当资产难以估值、套利受到约束时，投资者情绪更可能影响价格（De Long et al., 1990；Baker and Wurgler, 2006, 2007）。第二，散户并非对所有资产进行全面比较，而是更容易买入进入其注意范围的标的；搜索、讨论和社交互动因而不仅反映观点，也影响潜在交易者的覆盖范围（Barber and Odean, 2008；Da et al., 2011）。第三，加密货币的社交传播具有网络结构。同样的平均情绪可以对应完全不同的消息数量、参与者广度、传播速度和情绪分化，而已有研究对这些指标的预测结果并不一致（Mai et al., 2018；Kraaijeveld and De Smedt, 2020；Suardi et al., 2022）。第四，pump-and-dump 和协调推广研究表明，少数组织者能够借助重复内容、集中传播和短期动员改变市场参与，但现有证据多来自已确认事件，尚不足以说明连续的协同推广状态如何嵌入泡沫形成过程（Kamps and Kleinberg, 2018；Hamrick et al., 2021；Mirtaheri et al., 2021）。第五，链上大额活动可能在市场转折前出现，但只有识别资金方向、地址实体和所处阶段，才能区分积累、派发、内部归集与普通转移（Makarov and Schoar, 2021；Benedetti and Rodríguez-Garnica, 2025）。</w:t>
      </w:r>
    </w:p>
    <w:p>
      <w:pPr>
        <w:spacing w:before="0" w:after="140" w:line="324" w:lineRule="auto"/>
        <w:ind w:firstLine="440"/>
        <w:jc w:val="both"/>
      </w:pPr>
      <w:r>
        <w:rPr>
          <w:rFonts w:ascii="Arial Unicode MS" w:hAnsi="Arial Unicode MS" w:eastAsia="Arial Unicode MS"/>
          <w:b w:val="0"/>
          <w:i w:val="0"/>
          <w:color w:val="172033"/>
          <w:sz w:val="22"/>
        </w:rPr>
        <w:t>这些认识不能直接推出“情绪越高，泡沫越大”这一简单命题。价格上涨本身会吸引搜索、讨论和新用户，情绪与传播也可能只是近期收益率和成交量的同步结果。如果解释变量与泡沫状态同时测量，显著关系无法说明信息究竟来自市场变量、社交变量还是结果变量的反向作用。因此，本文把理论推演限定在一个明确的时间链条内：在预测起点之前测量基础情绪、传播和链上行为，在预测起点之后识别新的 BSADF 泡沫进入，并要求新增变量在市场基准之外提供可重复的信息。</w:t>
      </w:r>
    </w:p>
    <w:p>
      <w:pPr>
        <w:spacing w:before="0" w:after="140" w:line="324" w:lineRule="auto"/>
        <w:ind w:firstLine="440"/>
        <w:jc w:val="both"/>
      </w:pPr>
      <w:r>
        <w:rPr>
          <w:rFonts w:ascii="Arial Unicode MS" w:hAnsi="Arial Unicode MS" w:eastAsia="Arial Unicode MS"/>
          <w:b w:val="0"/>
          <w:i w:val="0"/>
          <w:color w:val="172033"/>
          <w:sz w:val="22"/>
        </w:rPr>
        <w:t>在此基础上，三个主假设分别对应三个不同的研究层次。H1 回答“是否能够提前预测”，属于样本外预测问题；H2 回答“基础情绪与泡沫之间的关联是否经过协同推广”，属于机制和中介关联问题；H3 回答“巨鲸、协同传播、情绪和交易变量以何种顺序出现”，属于阶段性和时间先后问题。三者不能合并为一个包含更多自变量的回归式，因为预测增量、中介路径和动态顺序对应不同的估计对象、识别条件和否定标准。</w:t>
      </w:r>
    </w:p>
    <w:p>
      <w:pPr>
        <w:pStyle w:val="Heading2"/>
      </w:pPr>
      <w:r>
        <w:t>3.4 H1 的推演：从注意力与情绪到泡沫进入预测</w:t>
      </w:r>
    </w:p>
    <w:p>
      <w:pPr>
        <w:spacing w:before="0" w:after="140" w:line="324" w:lineRule="auto"/>
        <w:ind w:firstLine="440"/>
        <w:jc w:val="both"/>
      </w:pPr>
      <w:r>
        <w:rPr>
          <w:rFonts w:ascii="Arial Unicode MS" w:hAnsi="Arial Unicode MS" w:eastAsia="Arial Unicode MS"/>
          <w:b w:val="0"/>
          <w:i w:val="0"/>
          <w:color w:val="172033"/>
          <w:sz w:val="22"/>
        </w:rPr>
        <w:t>行为金融理论预期，情绪对难估值、难套利和散户参与度较高的资产影响更强。加密资产普遍缺少稳定现金流锚，中小币种又面临流动性较薄、做空困难和持币集中的约束，因此具备情绪发挥作用的条件。然而，单纯观察乐观语调与收益率的同期正相关并不能构成有力检验。更严格的推论应当是：如果社交活动确实反映新增投资者进入考虑集合、信念趋同或意见分化，那么这些信息应在价格过程进入爆炸状态之前出现，并在控制近期收益、波动率、成交量、流动性和全市场状态后仍然改善预测。</w:t>
      </w:r>
    </w:p>
    <w:p>
      <w:pPr>
        <w:spacing w:before="0" w:after="140" w:line="324" w:lineRule="auto"/>
        <w:ind w:firstLine="440"/>
        <w:jc w:val="both"/>
      </w:pPr>
      <w:r>
        <w:rPr>
          <w:rFonts w:ascii="Arial Unicode MS" w:hAnsi="Arial Unicode MS" w:eastAsia="Arial Unicode MS"/>
          <w:b w:val="0"/>
          <w:i w:val="0"/>
          <w:color w:val="172033"/>
          <w:sz w:val="22"/>
        </w:rPr>
        <w:t>注意力文献进一步表明，传播广度和传播速度可能比平均语调更接近市场参与约束。帖子数量上升若只由少数账户重复发布，不等于投资者覆盖扩大；平均情绪不变也可能同时包含极度乐观和极度悲观的两组参与者。已有加密研究出现混合结果，说明平均情绪不是唯一或必然最有效的指标（Kraaijeveld and De Smedt, 2020；Guégan and Renault, 2021；Li and Ma, 2024）。因此，本文将扩散强度、独立参与者、互动和跨平台传播，与情绪均值、情绪离散度、极端情绪比例及 FOMO/FUD 分开测量，并比较其时间外预测价值。</w:t>
      </w:r>
    </w:p>
    <w:p>
      <w:pPr>
        <w:spacing w:before="0" w:after="140" w:line="324" w:lineRule="auto"/>
        <w:ind w:firstLine="440"/>
        <w:jc w:val="both"/>
      </w:pPr>
      <w:r>
        <w:rPr>
          <w:rFonts w:ascii="Arial Unicode MS" w:hAnsi="Arial Unicode MS" w:eastAsia="Arial Unicode MS"/>
          <w:b w:val="0"/>
          <w:i w:val="0"/>
          <w:color w:val="172033"/>
          <w:sz w:val="22"/>
        </w:rPr>
        <w:t>这一机制在不同资产中的强度也不应被假定为相同。大市值、高流动性资产具有更广泛的信息生产和更强的套利约束纠正能力；小市值、低流动性和 meme/社群型资产则更依赖叙事和散户增量需求。如果理论解释成立，社交传播和情绪的预测增量应在后一类资产中更明显，而不是仅由 Bitcoin 或单一典型币种驱动。据此提出第一个主假设及三个子假设：</w:t>
      </w:r>
    </w:p>
    <w:p>
      <w:pPr>
        <w:spacing w:before="0" w:after="140" w:line="324" w:lineRule="auto"/>
        <w:ind w:firstLine="440"/>
        <w:jc w:val="both"/>
      </w:pPr>
      <w:r>
        <w:rPr>
          <w:rFonts w:ascii="Arial Unicode MS" w:hAnsi="Arial Unicode MS" w:eastAsia="Arial Unicode MS"/>
          <w:b/>
          <w:i w:val="0"/>
          <w:color w:val="172033"/>
          <w:sz w:val="22"/>
        </w:rPr>
        <w:t>H1：滞后的社交媒体扩散与散户情绪能够在市场信息之外，提高对未来加密货币泡沫进入的样本外预测能力。</w:t>
      </w:r>
    </w:p>
    <w:p>
      <w:pPr>
        <w:spacing w:before="0" w:after="140" w:line="324" w:lineRule="auto"/>
        <w:ind w:firstLine="440"/>
        <w:jc w:val="both"/>
      </w:pPr>
      <w:r>
        <w:rPr>
          <w:rFonts w:ascii="Arial Unicode MS" w:hAnsi="Arial Unicode MS" w:eastAsia="Arial Unicode MS"/>
          <w:b/>
          <w:i w:val="0"/>
          <w:color w:val="172033"/>
          <w:sz w:val="22"/>
        </w:rPr>
        <w:t>H1a：在控制收益率、波动率、成交量、流动性和全市场状态后，滞后的传播广度、互动强度和传播速度仍对未来泡沫进入具有增量预测力。</w:t>
      </w:r>
    </w:p>
    <w:p>
      <w:pPr>
        <w:spacing w:before="0" w:after="140" w:line="324" w:lineRule="auto"/>
        <w:ind w:firstLine="440"/>
        <w:jc w:val="both"/>
      </w:pPr>
      <w:r>
        <w:rPr>
          <w:rFonts w:ascii="Arial Unicode MS" w:hAnsi="Arial Unicode MS" w:eastAsia="Arial Unicode MS"/>
          <w:b/>
          <w:i w:val="0"/>
          <w:color w:val="172033"/>
          <w:sz w:val="22"/>
        </w:rPr>
        <w:t>H1b：情绪极化、离散度和极端情绪比例对泡沫进入的预测能力强于单纯的平均正面情绪。</w:t>
      </w:r>
    </w:p>
    <w:p>
      <w:pPr>
        <w:spacing w:before="0" w:after="140" w:line="324" w:lineRule="auto"/>
        <w:ind w:firstLine="440"/>
        <w:jc w:val="both"/>
      </w:pPr>
      <w:r>
        <w:rPr>
          <w:rFonts w:ascii="Arial Unicode MS" w:hAnsi="Arial Unicode MS" w:eastAsia="Arial Unicode MS"/>
          <w:b/>
          <w:i w:val="0"/>
          <w:color w:val="172033"/>
          <w:sz w:val="22"/>
        </w:rPr>
        <w:t>H1c：H1 的预测增量在小市值、低流动性及 meme/社群型加密资产中更强。</w:t>
      </w:r>
    </w:p>
    <w:p>
      <w:pPr>
        <w:spacing w:before="0" w:after="140" w:line="324" w:lineRule="auto"/>
        <w:ind w:firstLine="440"/>
        <w:jc w:val="both"/>
      </w:pPr>
      <w:r>
        <w:rPr>
          <w:rFonts w:ascii="Arial Unicode MS" w:hAnsi="Arial Unicode MS" w:eastAsia="Arial Unicode MS"/>
          <w:b/>
          <w:i w:val="0"/>
          <w:color w:val="172033"/>
          <w:sz w:val="22"/>
        </w:rPr>
        <w:t xml:space="preserve">H1d：H1 的预测增量随预测期变化，在中等预测期（3 至 7 日）强于最短预测期（1 日），因为社交信号需要时间转化为交易；若增量只出现在最短预测期，更可能来自价格路径信息而非社交信息。</w:t>
      </w:r>
    </w:p>
    <w:p>
      <w:pPr>
        <w:pStyle w:val="Heading2"/>
      </w:pPr>
      <w:r>
        <w:t>3.5 H2 的推演：协同推广的中介机制</w:t>
      </w:r>
    </w:p>
    <w:p>
      <w:pPr>
        <w:spacing w:before="0" w:after="140" w:line="324" w:lineRule="auto"/>
        <w:ind w:firstLine="440"/>
        <w:jc w:val="both"/>
      </w:pPr>
      <w:r>
        <w:rPr>
          <w:rFonts w:ascii="Arial Unicode MS" w:hAnsi="Arial Unicode MS" w:eastAsia="Arial Unicode MS"/>
          <w:b w:val="0"/>
          <w:i w:val="0"/>
          <w:color w:val="172033"/>
          <w:sz w:val="22"/>
        </w:rPr>
        <w:t>H1 识别的是社交变量是否增加预测信息，但不能据此判断信息如何形成。操纵文献显示，协调群组可以通过预先选定标的、集中发布购买口号、制造可见度和吸引跟随交易者来放大价格冲击（Kamps and Kleinberg, 2018；Hamrick et al., 2021；Dhawan and Putnins, 2023）。这意味着操纵的影响不一定只表现为一个直接的异常交易虚拟变量，也可能通过传播过程把分散的情绪易感性转化为集中的交易行动。</w:t>
      </w:r>
    </w:p>
    <w:p>
      <w:pPr>
        <w:spacing w:before="0" w:after="140" w:line="324" w:lineRule="auto"/>
        <w:ind w:firstLine="440"/>
        <w:jc w:val="both"/>
      </w:pPr>
      <w:r>
        <w:rPr>
          <w:rFonts w:ascii="Arial Unicode MS" w:hAnsi="Arial Unicode MS" w:eastAsia="Arial Unicode MS"/>
          <w:b w:val="0"/>
          <w:i w:val="0"/>
          <w:color w:val="172033"/>
          <w:sz w:val="22"/>
        </w:rPr>
        <w:t xml:space="preserve">本文将“基础情绪易感性”和“事件期情绪”分开，其构念定义见 2.4 与 3.2，此处只说明 H2 对测量的额外要求。一个容易被忽视但足以推翻整个中介设计的问题是：若前因变量 X（基础情绪易感性）与中介变量 M（协同推广）来自同一批消息、并共用重叠的文本成分（例如“极端情绪比例”与“pump 语言”），则 X 对 M 的路径系数几乎必然显著，但它反映的是文本指标的自相关，而不是机制。因此本文要求 X 与 M 的构造成分严格互斥，并在可行时使用互斥的作者集合：X 只由非意见领袖的一般用户文本构造，M 只由同步、重复和账号集中等行为特征构造。正式分析必须报告 corr(X, M) 与 X 自身的滞后自相关，并强制执行一项安慰剂检验——把 M 替换为 X 的滞后副本重新估计间接效应；若该安慰剂同样产生“中介”，则说明整条路径是自相关而非机制。</w:t>
      </w:r>
    </w:p>
    <w:p>
      <w:pPr>
        <w:spacing w:before="0" w:after="140" w:line="324" w:lineRule="auto"/>
        <w:ind w:firstLine="440"/>
        <w:jc w:val="both"/>
      </w:pPr>
      <w:r>
        <w:rPr>
          <w:rFonts w:ascii="Arial Unicode MS" w:hAnsi="Arial Unicode MS" w:eastAsia="Arial Unicode MS"/>
          <w:b w:val="0"/>
          <w:i w:val="0"/>
          <w:color w:val="172033"/>
          <w:sz w:val="22"/>
        </w:rPr>
        <w:t>H2 因而不是在 H1 回归中简单增加一个变量。若把协同推广仅作为控制变量，最多能够说明其是否贡献额外拟合或预测信息，却不能检验基础情绪与泡沫关联中有多少经过该传播机制。正式分析将依次估计基础情绪对中介变量的路径、基础情绪与中介变量对未来进入的联合路径，以及分块 bootstrap 的间接效应；同时使用 KHB 分解、替代代理变量和反向时间窗检验。鉴于观测数据难以排除未观测混杂，本文把结果表述为“中介关联”，只有在更强识别条件满足时才讨论因果中介（Imai et al., 2010）。据此提出第二个主假设及三个子假设：</w:t>
      </w:r>
    </w:p>
    <w:p>
      <w:pPr>
        <w:spacing w:before="0" w:after="140" w:line="324" w:lineRule="auto"/>
        <w:ind w:firstLine="440"/>
        <w:jc w:val="both"/>
      </w:pPr>
      <w:r>
        <w:rPr>
          <w:rFonts w:ascii="Arial Unicode MS" w:hAnsi="Arial Unicode MS" w:eastAsia="Arial Unicode MS"/>
          <w:b/>
          <w:i w:val="0"/>
          <w:color w:val="172033"/>
          <w:sz w:val="22"/>
        </w:rPr>
        <w:t>H2：协同推广在散户基础情绪易感性与未来泡沫进入之间发挥部分中介作用。</w:t>
      </w:r>
    </w:p>
    <w:p>
      <w:pPr>
        <w:spacing w:before="0" w:after="140" w:line="324" w:lineRule="auto"/>
        <w:ind w:firstLine="440"/>
        <w:jc w:val="both"/>
      </w:pPr>
      <w:r>
        <w:rPr>
          <w:rFonts w:ascii="Arial Unicode MS" w:hAnsi="Arial Unicode MS" w:eastAsia="Arial Unicode MS"/>
          <w:b/>
          <w:i w:val="0"/>
          <w:color w:val="172033"/>
          <w:sz w:val="22"/>
        </w:rPr>
        <w:t>H2a：预测窗口之前较高的基础 FOMO、情绪极化或极端情绪比例，与随后更强的协同推广状态相关。</w:t>
      </w:r>
    </w:p>
    <w:p>
      <w:pPr>
        <w:spacing w:before="0" w:after="140" w:line="324" w:lineRule="auto"/>
        <w:ind w:firstLine="440"/>
        <w:jc w:val="both"/>
      </w:pPr>
      <w:r>
        <w:rPr>
          <w:rFonts w:ascii="Arial Unicode MS" w:hAnsi="Arial Unicode MS" w:eastAsia="Arial Unicode MS"/>
          <w:b/>
          <w:i w:val="0"/>
          <w:color w:val="172033"/>
          <w:sz w:val="22"/>
        </w:rPr>
        <w:t>H2b：在控制基础情绪、市场状态以及币种和时间效应后，协同推广仍正向预测未来泡沫进入。</w:t>
      </w:r>
    </w:p>
    <w:p>
      <w:pPr>
        <w:spacing w:before="0" w:after="140" w:line="324" w:lineRule="auto"/>
        <w:ind w:firstLine="440"/>
        <w:jc w:val="both"/>
      </w:pPr>
      <w:r>
        <w:rPr>
          <w:rFonts w:ascii="Arial Unicode MS" w:hAnsi="Arial Unicode MS" w:eastAsia="Arial Unicode MS"/>
          <w:b/>
          <w:i w:val="0"/>
          <w:color w:val="172033"/>
          <w:sz w:val="22"/>
        </w:rPr>
        <w:t>H2c：基础情绪经协同推广影响未来泡沫进入的间接效应，在替代传播指数、时间窗和分块重抽样下保持稳健。</w:t>
      </w:r>
    </w:p>
    <w:p>
      <w:pPr>
        <w:spacing w:before="0" w:after="140" w:line="324" w:lineRule="auto"/>
        <w:ind w:firstLine="440"/>
        <w:jc w:val="both"/>
      </w:pPr>
      <w:r>
        <w:rPr>
          <w:rFonts w:ascii="Arial Unicode MS" w:hAnsi="Arial Unicode MS" w:eastAsia="Arial Unicode MS"/>
          <w:b w:val="0"/>
          <w:i w:val="0"/>
          <w:color w:val="172033"/>
          <w:sz w:val="22"/>
        </w:rPr>
        <w:t>反向路径同样具有理论可能性：协调推广也可能先制造注意力，随后改变事件期情绪。本文不通过文字论证排除这一方向，而是把“协同推广 -&gt; 扩散或事件期情绪 -&gt; 泡沫进入”设置为竞争模型。若反向路径持续强于预设路径，或间接效应在合理设定下均跨越零，H2 将不获支持，理论机制也应据此修正。</w:t>
      </w:r>
    </w:p>
    <w:p>
      <w:pPr>
        <w:pStyle w:val="Heading2"/>
      </w:pPr>
      <w:r>
        <w:t>3.6 H3 的推演：巨鲸阶段行为与多信号时间顺序</w:t>
      </w:r>
    </w:p>
    <w:p>
      <w:pPr>
        <w:spacing w:before="0" w:after="140" w:line="324" w:lineRule="auto"/>
        <w:ind w:firstLine="440"/>
        <w:jc w:val="both"/>
      </w:pPr>
      <w:r>
        <w:rPr>
          <w:rFonts w:ascii="Arial Unicode MS" w:hAnsi="Arial Unicode MS" w:eastAsia="Arial Unicode MS"/>
          <w:b w:val="0"/>
          <w:i w:val="0"/>
          <w:color w:val="172033"/>
          <w:sz w:val="22"/>
        </w:rPr>
        <w:t>泡沫形成不仅涉及散户信念，也受资产供给和大额持有者交易影响。大户若在价格加速前从交易所提币、提高余额或增加持有集中度，可能形成可交易供给收缩；若在高位附近向交易所转入资产或降低余额，则可能增加卖压并领先泡沫退出或回撤。但链上透明并不自动给出经济含义。交易所内部转账、托管重组、跨链桥和质押迁移都可能产生大额记录，未经实体和方向识别的 whale alert 不能直接解释为买入或卖出（Makarov and Schoar, 2021；Saggu, 2022）。</w:t>
      </w:r>
    </w:p>
    <w:p>
      <w:pPr>
        <w:spacing w:before="0" w:after="140" w:line="324" w:lineRule="auto"/>
        <w:ind w:firstLine="440"/>
        <w:jc w:val="both"/>
      </w:pPr>
      <w:r>
        <w:rPr>
          <w:rFonts w:ascii="Arial Unicode MS" w:hAnsi="Arial Unicode MS" w:eastAsia="Arial Unicode MS"/>
          <w:b w:val="0"/>
          <w:i w:val="0"/>
          <w:color w:val="172033"/>
          <w:sz w:val="22"/>
        </w:rPr>
        <w:t xml:space="preserve">这使 H3 必须采用阶段性而非单一平均效应。进入前、峰值附近和退出前的巨鲸行为可能方向相反；若把所有时期放入同一系数，积累和派发作用会相互抵消。本文因此以 BSADF 进入、峰值和退出为事件时点，比较交易所净流入流出、大户余额、集中度和经分类的大额转账，并通过局部投影、领先滞后检验和事件时间图识别动态变化。必须同时承认一项结构性约束：实体标注库的覆盖高度集中在 Bitcoin 与 Ethereum/ERC-20，而本文社交数据最充分的 XRP、ADA、HBAR、TRX、TON、CAKE 分别位于 XRPL、Cardano、Hedera、Tron、TON 等实体标注薄弱的链上。也就是说，社交证据最强的资产恰恰是链上证据最弱的资产，而链上证据最强的 BTC/ETH 又是散户情绪机制预期最弱、套利约束最强的资产（见 H1c）。H3 因此限定在实体标注可靠的链与代币上，其资产集与 H1c 预测最强的资产集不重合，这是本研究的固有限制，不能通过扩大样本消除。</w:t>
      </w:r>
    </w:p>
    <w:p>
      <w:pPr>
        <w:spacing w:before="0" w:after="140" w:line="324" w:lineRule="auto"/>
        <w:ind w:firstLine="440"/>
        <w:jc w:val="both"/>
      </w:pPr>
      <w:r>
        <w:rPr>
          <w:rFonts w:ascii="Arial Unicode MS" w:hAnsi="Arial Unicode MS" w:eastAsia="Arial Unicode MS"/>
          <w:b w:val="0"/>
          <w:i w:val="0"/>
          <w:color w:val="172033"/>
          <w:sz w:val="22"/>
        </w:rPr>
        <w:t>进一步地，若泡沫形成是一种社会传播与交易反馈过程，多类信号应当在若干事件中呈现可重复而非完全随机的顺序。一种理论上可观察的路径是：巨鲸积累或协同推广首先出现，随后社交扩散扩大，事件期情绪极化和交易活动增强，最后价格过程进入 BSADF 爆炸状态；峰值附近则可能出现交易所流入或大户余额下降，并领先退出或回撤。该顺序只构成时间先后和预测证据，不能单独证明巨鲸操纵或因果关系。由此提出第三个主假设及三个子假设：</w:t>
      </w:r>
    </w:p>
    <w:p>
      <w:pPr>
        <w:spacing w:before="0" w:after="140" w:line="324" w:lineRule="auto"/>
        <w:ind w:firstLine="440"/>
        <w:jc w:val="both"/>
      </w:pPr>
      <w:r>
        <w:rPr>
          <w:rFonts w:ascii="Arial Unicode MS" w:hAnsi="Arial Unicode MS" w:eastAsia="Arial Unicode MS"/>
          <w:b/>
          <w:i w:val="0"/>
          <w:color w:val="172033"/>
          <w:sz w:val="22"/>
        </w:rPr>
        <w:t>H3：经实体识别的巨鲸行为具有泡沫阶段依赖性，并与协同推广、社交扩散、事件期情绪和交易放大形成可重复的时间顺序。</w:t>
      </w:r>
    </w:p>
    <w:p>
      <w:pPr>
        <w:spacing w:before="0" w:after="140" w:line="324" w:lineRule="auto"/>
        <w:ind w:firstLine="440"/>
        <w:jc w:val="both"/>
      </w:pPr>
      <w:r>
        <w:rPr>
          <w:rFonts w:ascii="Arial Unicode MS" w:hAnsi="Arial Unicode MS" w:eastAsia="Arial Unicode MS"/>
          <w:b/>
          <w:i w:val="0"/>
          <w:color w:val="172033"/>
          <w:sz w:val="22"/>
        </w:rPr>
        <w:t>H3a：泡沫进入前，经实体识别的交易所净流出、大户余额增加或持有集中度上升，领先于社交扩散和价格加速。</w:t>
      </w:r>
    </w:p>
    <w:p>
      <w:pPr>
        <w:spacing w:before="0" w:after="140" w:line="324" w:lineRule="auto"/>
        <w:ind w:firstLine="440"/>
        <w:jc w:val="both"/>
      </w:pPr>
      <w:r>
        <w:rPr>
          <w:rFonts w:ascii="Arial Unicode MS" w:hAnsi="Arial Unicode MS" w:eastAsia="Arial Unicode MS"/>
          <w:b/>
          <w:i w:val="0"/>
          <w:color w:val="172033"/>
          <w:sz w:val="22"/>
        </w:rPr>
        <w:t>H3b：泡沫峰值附近的交易所净流入、大户余额下降或派发信号，正向预测后续泡沫退出或价格回撤。</w:t>
      </w:r>
    </w:p>
    <w:p>
      <w:pPr>
        <w:spacing w:before="0" w:after="140" w:line="324" w:lineRule="auto"/>
        <w:ind w:firstLine="440"/>
        <w:jc w:val="both"/>
      </w:pPr>
      <w:r>
        <w:rPr>
          <w:rFonts w:ascii="Arial Unicode MS" w:hAnsi="Arial Unicode MS" w:eastAsia="Arial Unicode MS"/>
          <w:b/>
          <w:i w:val="0"/>
          <w:color w:val="172033"/>
          <w:sz w:val="22"/>
        </w:rPr>
        <w:t xml:space="preserve">H3c：在多币种事件中，“巨鲸积累或协同推广 -&gt; 社交扩散 -&gt; 事件期情绪极化 -&gt; 交易放大 -&gt; BSADF 进入”这一预设先后关系，其证据强度显著高于时间置换和非目标币对照。</w:t>
      </w:r>
    </w:p>
    <w:p>
      <w:pPr>
        <w:spacing w:before="0" w:after="140" w:line="324" w:lineRule="auto"/>
        <w:ind w:firstLine="440"/>
        <w:jc w:val="both"/>
      </w:pPr>
      <w:r>
        <w:rPr>
          <w:rFonts w:ascii="Arial Unicode MS" w:hAnsi="Arial Unicode MS" w:eastAsia="Arial Unicode MS"/>
          <w:b/>
          <w:i w:val="0"/>
          <w:color w:val="172033"/>
          <w:sz w:val="22"/>
        </w:rPr>
        <w:t xml:space="preserve">关于 H3c 的检验形式需要一处方法上的修正。若把该假设操作化为“五元完整排列的匹配率高于随机”，则零分布是 120 种排列上的均匀分布，在几十个可用事件下几乎不可能拒绝，等于预先把 H3c 设计成不可检验。正式研究改为两个功效更高的统计量：其一是一组预先指定的两两先后检验（例如 P(巨鲸信号首次异常早于扩散首次异常) &gt; 0.5），在假设家族内做 FDR 控制；其二是把每个事件的观测首次异常时间序列与预设顺序做 Kendall τ 秩相关，以事件层面 τ 的均值作为单一汇总统计量，再与块状时间置换和非目标币对照构造的零分布比较。两者都以事件为重抽样单位，并须报告结果是否由单一币种或单一市场周期驱动。</w:t>
      </w:r>
    </w:p>
    <w:p>
      <w:pPr>
        <w:pStyle w:val="Heading2"/>
      </w:pPr>
      <w:r>
        <w:t>3.7 假设汇总及其与经验检验的对应</w:t>
      </w:r>
    </w:p>
    <w:p>
      <w:pPr>
        <w:spacing w:before="0" w:after="140" w:line="324" w:lineRule="auto"/>
        <w:ind w:firstLine="440"/>
        <w:jc w:val="both"/>
      </w:pPr>
      <w:r>
        <w:rPr>
          <w:rFonts w:ascii="Arial Unicode MS" w:hAnsi="Arial Unicode MS" w:eastAsia="Arial Unicode MS"/>
          <w:b w:val="0"/>
          <w:i w:val="0"/>
          <w:color w:val="172033"/>
          <w:sz w:val="22"/>
        </w:rPr>
        <w:t>上述推演把文献中的分散证据转换为三个层次清楚的经验命题。表 2 不再承担提出假设的功能，而是用于集中核对每项假设的理论机制、主要检验和否定条件，避免后续分析在看到结果后改变解释口径。</w:t>
      </w:r>
    </w:p>
    <w:p>
      <w:pPr>
        <w:keepNext/>
        <w:spacing w:before="40" w:after="40"/>
        <w:jc w:val="left"/>
      </w:pPr>
      <w:r>
        <w:rPr>
          <w:rFonts w:ascii="Arial Unicode MS" w:hAnsi="Arial Unicode MS" w:eastAsia="Arial Unicode MS"/>
          <w:b/>
          <w:i w:val="0"/>
          <w:color w:val="172033"/>
          <w:sz w:val="16"/>
        </w:rPr>
        <w:t>表 2. 主假设、子假设与不支持条件</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2527"/>
        <w:gridCol w:w="2888"/>
        <w:gridCol w:w="2257"/>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假设</w:t>
            </w:r>
          </w:p>
        </w:tc>
        <w:tc>
          <w:tcPr>
            <w:tcW w:type="dxa" w:w="252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预设命题</w:t>
            </w:r>
          </w:p>
        </w:tc>
        <w:tc>
          <w:tcPr>
            <w:tcW w:type="dxa" w:w="2888"/>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主要检验</w:t>
            </w:r>
          </w:p>
        </w:tc>
        <w:tc>
          <w:tcPr>
            <w:tcW w:type="dxa" w:w="225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不支持该假设的证据</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H1</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滞后的社交扩散与散户情绪对未来泡沫进入具有增量预测力</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同等模型复杂度下、市场基准（含 BSADF-临界值距离）与社交模型的扩展窗口时间外比较</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改进只存在于样本内、在前瞻性窗口消失，或在基准与完整模型函数复杂度对齐后消失</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H1a</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控制市场变量后，扩散强度仍预测进入</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滞后帖子、用户、互动、级联和跨平台变量</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系数不稳定且任何预设预测指标均未改善</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H1b</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情绪极化和极端情绪比平均情绪更有效</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比较平均语调与离散度、尾部、FOMO/FUD 和互动加权指标</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锁定测试中平均情绪同样或更加有效</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H1c</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H1 在小市值、低流动性和 meme/社群型资产中更强</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预设交互项和分组检验</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作用不存在，或只在高流动性对照资产中更强</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H1d</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预测增量随预测期变化，中等预测期强于最短预测期</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按 1 日、3 日、7 日分别报告增量与提前期</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增量只出现在最短预测期，提示信息来自价格路径而非社交过程</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H2</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协同推广在基础情绪与泡沫之间发挥部分中介作用</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错位中介模型、概率尺度自然间接效应（g-computation）、分块 bootstrap、KHB 与敏感性分析</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有效模型中间接效应区间均跨 0，反向时间顺序明显更强，或滞后-副本安慰剂产生同等“中介”</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H2a</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基础 FOMO 或极化领先于更强的协同推广</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t-2 情绪预测 t-1 中介变量，且二者构造成分与作者集合互斥</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控制市场、平台、币种和时间后不存在时间关联，或关联在互斥构造下消失</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H2b</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控制基础情绪后，协同推广预测未来进入</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中介变量位于预测窗口之前的 hazard/logit</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只在同期显著，或完全由价格加速解释</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H2c</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间接路径对替代指数和时间窗稳健</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分块 bootstrap、KHB、敏感性、逐项剔除和反向安慰剂</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结果依赖单一代理、事件或平台</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H3</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巨鲸行为具有阶段性，并参与重复的时间顺序</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事件时间、局部投影、领先滞后和序列置换</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原始转账缺乏方向信息，或观测顺序不高于置换基准</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H3a</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经实体识别的积累信号可能领先泡沫进入</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进入前交易所流出、大户余额和集中度变化</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剔除内部转账和托管调整后结果消失</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H3b</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峰值附近的派发信号预测退出或回撤</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预设两两先后检验（FDR 控制）与事件层面 Kendall τ 的置换检验</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两两先后概率不显著偏离 0.5，且平均 τ 不高于块状置换零分布</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H3c</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典型顺序为巨鲸/协同 -&gt; 扩散 -&gt; 事件情绪 -&gt; 交易 -&gt; BSADF 进入</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首次异常时间与序列匹配置换检验</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不存在稳定典型顺序，或匹配率等于随机置换</w:t>
            </w:r>
          </w:p>
        </w:tc>
      </w:tr>
    </w:tbl>
    <w:p>
      <w:pPr>
        <w:spacing w:after="20"/>
      </w:pPr>
    </w:p>
    <w:p>
      <w:pPr>
        <w:pStyle w:val="Heading2"/>
      </w:pPr>
      <w:r>
        <w:t>3.8 预注册约束与可证伪性</w:t>
      </w:r>
    </w:p>
    <w:p>
      <w:pPr>
        <w:spacing w:before="0" w:after="140" w:line="324" w:lineRule="auto"/>
        <w:ind w:firstLine="440"/>
        <w:jc w:val="both"/>
      </w:pPr>
      <w:r>
        <w:rPr>
          <w:rFonts w:ascii="Arial Unicode MS" w:hAnsi="Arial Unicode MS" w:eastAsia="Arial Unicode MS"/>
          <w:b w:val="0"/>
          <w:i w:val="0"/>
          <w:color w:val="172033"/>
          <w:sz w:val="22"/>
        </w:rPr>
        <w:t xml:space="preserve">三个约束使假设真正可以被否定。第一，在打开时间外评价期之前固定主方向、滞后、预测期、阈值和评价指标。第二，不因缺少显著性而事后搜索新的预测期。第三，按币种组和平台报告负结果与混合结果，不能用单一 pooled 系数掩盖差异。</w:t>
      </w:r>
    </w:p>
    <w:p>
      <w:pPr>
        <w:pStyle w:val="Heading1"/>
      </w:pPr>
      <w:r>
        <w:t>四、研究设计：样本、数据与变量</w:t>
      </w:r>
    </w:p>
    <w:p>
      <w:pPr>
        <w:pStyle w:val="Heading2"/>
      </w:pPr>
      <w:r>
        <w:t>4.1 时点化币种池与分层样本</w:t>
      </w:r>
    </w:p>
    <w:p>
      <w:pPr>
        <w:spacing w:before="0" w:after="140" w:line="324" w:lineRule="auto"/>
        <w:ind w:firstLine="440"/>
        <w:jc w:val="both"/>
      </w:pPr>
      <w:r>
        <w:rPr>
          <w:rFonts w:ascii="Arial Unicode MS" w:hAnsi="Arial Unicode MS" w:eastAsia="Arial Unicode MS"/>
          <w:b w:val="0"/>
          <w:i w:val="0"/>
          <w:color w:val="172033"/>
          <w:sz w:val="22"/>
        </w:rPr>
        <w:t>目标总体是 2021-2025 年间散户可以交易的流动性非稳定币。直接使用当前排名会产生生存者偏差，因为失败或退市资产被排除。因此，币种池将依据历史上市记录和定期重构时点的市值/流动性建立；只要历史市场和社交数据可恢复，退市资产仍保留。</w:t>
      </w:r>
    </w:p>
    <w:p>
      <w:pPr>
        <w:spacing w:before="0" w:after="140" w:line="324" w:lineRule="auto"/>
        <w:ind w:firstLine="440"/>
        <w:jc w:val="both"/>
      </w:pPr>
      <w:r>
        <w:rPr>
          <w:rFonts w:ascii="Arial Unicode MS" w:hAnsi="Arial Unicode MS" w:eastAsia="Arial Unicode MS"/>
          <w:b w:val="0"/>
          <w:i w:val="0"/>
          <w:color w:val="172033"/>
          <w:sz w:val="22"/>
        </w:rPr>
        <w:t>本文采用分层样本，而不声称三个假设具有完全相同的数据覆盖。</w:t>
      </w:r>
      <w:r>
        <w:rPr>
          <w:rFonts w:ascii="Arial Unicode MS" w:hAnsi="Arial Unicode MS" w:eastAsia="Arial Unicode MS"/>
          <w:b/>
          <w:i w:val="0"/>
          <w:color w:val="172033"/>
          <w:sz w:val="22"/>
        </w:rPr>
        <w:t>核心推断样本</w:t>
      </w:r>
      <w:r>
        <w:rPr>
          <w:rFonts w:ascii="Arial Unicode MS" w:hAnsi="Arial Unicode MS" w:eastAsia="Arial Unicode MS"/>
          <w:b w:val="0"/>
          <w:i w:val="0"/>
          <w:color w:val="172033"/>
          <w:sz w:val="22"/>
        </w:rPr>
        <w:t>预计包含约 30-50 个市场、社交和元数据较完整的币种；</w:t>
      </w:r>
      <w:r>
        <w:rPr>
          <w:rFonts w:ascii="Arial Unicode MS" w:hAnsi="Arial Unicode MS" w:eastAsia="Arial Unicode MS"/>
          <w:b/>
          <w:i w:val="0"/>
          <w:color w:val="172033"/>
          <w:sz w:val="22"/>
        </w:rPr>
        <w:t>H1 扩展样本</w:t>
      </w:r>
      <w:r>
        <w:rPr>
          <w:rFonts w:ascii="Arial Unicode MS" w:hAnsi="Arial Unicode MS" w:eastAsia="Arial Unicode MS"/>
          <w:b w:val="0"/>
          <w:i w:val="0"/>
          <w:color w:val="172033"/>
          <w:sz w:val="22"/>
        </w:rPr>
        <w:t>在市场和至少一个社交来源可用时扩大至 50-200 个；</w:t>
      </w:r>
      <w:r>
        <w:rPr>
          <w:rFonts w:ascii="Arial Unicode MS" w:hAnsi="Arial Unicode MS" w:eastAsia="Arial Unicode MS"/>
          <w:b/>
          <w:i w:val="0"/>
          <w:color w:val="172033"/>
          <w:sz w:val="22"/>
        </w:rPr>
        <w:t>H2 机制样本</w:t>
      </w:r>
      <w:r>
        <w:rPr>
          <w:rFonts w:ascii="Arial Unicode MS" w:hAnsi="Arial Unicode MS" w:eastAsia="Arial Unicode MS"/>
          <w:b w:val="0"/>
          <w:i w:val="0"/>
          <w:color w:val="172033"/>
          <w:sz w:val="22"/>
        </w:rPr>
        <w:t>必须具备消息级作者和协同字段；</w:t>
      </w:r>
      <w:r>
        <w:rPr>
          <w:rFonts w:ascii="Arial Unicode MS" w:hAnsi="Arial Unicode MS" w:eastAsia="Arial Unicode MS"/>
          <w:b/>
          <w:i w:val="0"/>
          <w:color w:val="172033"/>
          <w:sz w:val="22"/>
        </w:rPr>
        <w:t>H3 链上样本</w:t>
      </w:r>
      <w:r>
        <w:rPr>
          <w:rFonts w:ascii="Arial Unicode MS" w:hAnsi="Arial Unicode MS" w:eastAsia="Arial Unicode MS"/>
          <w:b w:val="0"/>
          <w:i w:val="0"/>
          <w:color w:val="172033"/>
          <w:sz w:val="22"/>
        </w:rPr>
        <w:t>只包括实体标签和方向性流量可靠的链及代币。最终将报告实际样本数量、纳入率，以及纳入和排除资产之间的差异。</w:t>
      </w:r>
    </w:p>
    <w:p>
      <w:pPr>
        <w:spacing w:before="0" w:after="140" w:line="324" w:lineRule="auto"/>
        <w:ind w:firstLine="440"/>
        <w:jc w:val="both"/>
      </w:pPr>
      <w:r>
        <w:rPr>
          <w:rFonts w:ascii="Arial Unicode MS" w:hAnsi="Arial Unicode MS" w:eastAsia="Arial Unicode MS"/>
          <w:b w:val="0"/>
          <w:i w:val="0"/>
          <w:color w:val="172033"/>
          <w:sz w:val="22"/>
        </w:rPr>
        <w:t>BTC、ETH、XRP、SOL、ADA 等大市值资产提供对照和全市场案例；DOGE、SHIB、PEPE 等社群和 meme 资产提供高关注案例；TRX、AVAX、DOT、LINK、UNI、CAKE、TON、HBAR、ZEC 等提供流动性、叙事和链结构差异。这些币种用于指导覆盖，不替代时点化抽样规则。</w:t>
      </w:r>
    </w:p>
    <w:p>
      <w:pPr>
        <w:spacing w:before="0" w:after="140" w:line="324" w:lineRule="auto"/>
        <w:ind w:firstLine="440"/>
        <w:jc w:val="both"/>
      </w:pPr>
      <w:r>
        <w:rPr>
          <w:rFonts w:ascii="Arial Unicode MS" w:hAnsi="Arial Unicode MS" w:eastAsia="Arial Unicode MS"/>
          <w:b w:val="0"/>
          <w:i w:val="0"/>
          <w:color w:val="172033"/>
          <w:sz w:val="22"/>
        </w:rPr>
        <w:t xml:space="preserve">分层样本还必须承认一个不能靠扩大样本消除的结构性冲突：链上实体标注的覆盖集中在 Bitcoin 与 Ethereum/ERC-20，而 pilot 中社交数据最充分的 XRP、ADA、HBAR，以及 TRX、TON、CAKE 分别位于 XRPL、Cardano、Hedera、Tron、TON 等实体标注薄弱的链。因此 H3 样本预计以 BTC、ETH 及主流 ERC-20 代币为主，与 H1/H2 的核心社交样本只有部分重叠。本文在结果部分将分别报告三个假设的实际币种集合与交集规模，并把“H3 资产集与 H1c 预测最强的资产集不重合”写入限制而非留待读者推断。</w:t>
      </w:r>
    </w:p>
    <w:p>
      <w:pPr>
        <w:pStyle w:val="Heading2"/>
      </w:pPr>
      <w:r>
        <w:t>4.2 数据分层与可追溯性</w:t>
      </w:r>
    </w:p>
    <w:p>
      <w:pPr>
        <w:spacing w:before="0" w:after="140" w:line="324" w:lineRule="auto"/>
        <w:ind w:firstLine="440"/>
        <w:jc w:val="both"/>
      </w:pPr>
      <w:r>
        <w:rPr>
          <w:rFonts w:ascii="Arial Unicode MS" w:hAnsi="Arial Unicode MS" w:eastAsia="Arial Unicode MS"/>
          <w:b w:val="0"/>
          <w:i w:val="0"/>
          <w:color w:val="172033"/>
          <w:sz w:val="22"/>
        </w:rPr>
        <w:t>原始记录不被覆盖。每一数据源首先进入不可变 raw 层；clean 层统一币种标识、时间戳、文本编码、作者 hash 和来源字段；feature 层聚合到币种-小时或币种-日；model 层应用滞后并生成未来结果。每张表记录来源、提取日期、版本、覆盖标志和转换版本。所有连接之前均先统一为 UTC。</w:t>
      </w:r>
    </w:p>
    <w:p>
      <w:pPr>
        <w:keepNext/>
        <w:spacing w:before="40" w:after="40"/>
        <w:jc w:val="left"/>
      </w:pPr>
      <w:r>
        <w:rPr>
          <w:rFonts w:ascii="Arial Unicode MS" w:hAnsi="Arial Unicode MS" w:eastAsia="Arial Unicode MS"/>
          <w:b/>
          <w:i w:val="0"/>
          <w:color w:val="172033"/>
          <w:sz w:val="16"/>
        </w:rPr>
        <w:t>表 3. 计划数据模块与最低字段</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2527"/>
        <w:gridCol w:w="2888"/>
        <w:gridCol w:w="2257"/>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数据模块</w:t>
            </w:r>
          </w:p>
        </w:tc>
        <w:tc>
          <w:tcPr>
            <w:tcW w:type="dxa" w:w="252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候选来源</w:t>
            </w:r>
          </w:p>
        </w:tc>
        <w:tc>
          <w:tcPr>
            <w:tcW w:type="dxa" w:w="2888"/>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最低字段</w:t>
            </w:r>
          </w:p>
        </w:tc>
        <w:tc>
          <w:tcPr>
            <w:tcW w:type="dxa" w:w="225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主要用途与关键限制</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市场与微观结构</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Binance 及其他交易所；许可条件下 CoinGecko/CryptoCompare/Kaiko</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OHLCV、成交、主动买盘、价差/深度、资金费率、市值</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泡沫标签和控制；交易所单一价格需用聚合价格稳健性检验</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Reddit</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官方 API、许可 archive 或有记录的公开端点</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帖子/评论、UTC 时间、subreddit、作者 hash、得分、回复</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广泛讨论基准；需测量历史完整性和删除偏差</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X/Twitter</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官方 API 或许可历史供应商</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文本、UTC 时间、作者 hash、回复/转发/引用网络、互动和允许的账号字段</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扩散与 KOL；权限成本和机器人污染是重要风险</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Telegram</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Telethon 采集公开频道/群组</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文本、UTC 时间、频道、message ID、可用时作者 hash、转发/回复/浏览</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操纵与社群扩散；不采集私密群，消息上限必须标记</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操纵事件和代理</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已知 pump 事件目录及构造的协同特征</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事件时间、目标币、来源、置信度；重复、同步、作者 HHI、pump 语言</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代理不等于法律认定；事件目录可能偏向已经被发现的方案</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巨鲸与链上</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带实体标签的供应商或可复现浏览器管道</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交易所流入流出、大户余额、集中度、大额转账类别</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H3；需处理地址聚类、内部转账、跨链桥、质押与托管变化</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全市场控制</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BTC/ETH 收益、全市场指标、时间效应；Fear &amp; Greed 作稳健性</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预测起点可见的市场状态</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避免使用与核心社交指标重叠或未来更新的控制变量</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币种元数据</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时点化 CoinGecko/交易所记录及文档化分类</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symbol 映射、链、类别、meme、上市时间、市值、流动性</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抽样和异质性；分类在结果分析前冻结</w:t>
            </w:r>
          </w:p>
        </w:tc>
      </w:tr>
    </w:tbl>
    <w:p>
      <w:pPr>
        <w:spacing w:after="20"/>
      </w:pPr>
    </w:p>
    <w:p>
      <w:pPr>
        <w:pStyle w:val="Heading2"/>
      </w:pPr>
      <w:r>
        <w:t>4.3 训练、验证和测试期</w:t>
      </w:r>
    </w:p>
    <w:p>
      <w:pPr>
        <w:spacing w:before="0" w:after="140" w:line="324" w:lineRule="auto"/>
        <w:ind w:firstLine="440"/>
        <w:jc w:val="both"/>
      </w:pPr>
      <w:r>
        <w:rPr>
          <w:rFonts w:ascii="Arial Unicode MS" w:hAnsi="Arial Unicode MS" w:eastAsia="Arial Unicode MS"/>
          <w:b w:val="0"/>
          <w:i w:val="0"/>
          <w:color w:val="172033"/>
          <w:sz w:val="22"/>
        </w:rPr>
        <w:t xml:space="preserve">主要预测划分严格按时间进行：2021-2023 年用于初始训练，2024 年用于模型选择和阈值校准。训练和验证期内部采用扩展窗口交叉验证。不同分区边界设置等于最大预测期的缓冲区，避免结果窗口跨入未来分区。禁止使用随机行级交叉验证，因为相邻币种-日和同一泡沫事件共享信息。</w:t>
      </w:r>
    </w:p>
    <w:p>
      <w:pPr>
        <w:spacing w:before="0" w:after="140" w:line="324" w:lineRule="auto"/>
        <w:ind w:firstLine="440"/>
        <w:jc w:val="both"/>
      </w:pPr>
      <w:r>
        <w:rPr>
          <w:rFonts w:ascii="Arial Unicode MS" w:hAnsi="Arial Unicode MS" w:eastAsia="Arial Unicode MS"/>
          <w:b w:val="0"/>
          <w:i w:val="0"/>
          <w:color w:val="172033"/>
          <w:sz w:val="22"/>
        </w:rPr>
        <w:t xml:space="preserve">关于时间外测试集，本文作一处必要更正。开题准备阶段的 pilot 已经在 2025 年（并延伸至 2026 年年中）的价格数据上运行过 GSADF/BSADF 标签，并据此观察了各目标币的事件天数分布与聚集时点，甚至以此指导了目标币选择。因此 2025 年不再是一个未被观察的锁定集，继续以“锁定测试”表述会高估结论的可信度。正式研究采用两级处理：其一，2025 年降级为“已部分观察的时间外评价期”，并在附录 A 中逐条披露截至 2026 年 8 月已经观察到的内容（即第六章的事件天数分布与标记聚集时点）；其二，真正的前瞻性样本外窗口前移至 2026 年下半年及之后，随论文进度自然向前滚动，在数据尚未生成时即固定全部建模决策，并以带时间戳的预注册（SSRN 或 OSF）与配置文件哈希锁定，使“未看过”成为可核验的事实而不是自我声明。</w:t>
      </w:r>
    </w:p>
    <w:p>
      <w:pPr>
        <w:jc w:val="center"/>
      </w:pPr>
      <w:r>
        <w:drawing>
          <wp:inline xmlns:a="http://schemas.openxmlformats.org/drawingml/2006/main" xmlns:pic="http://schemas.openxmlformats.org/drawingml/2006/picture">
            <wp:extent cx="5616000" cy="3633882"/>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616000" cy="3633882"/>
                    </a:xfrm>
                    <a:prstGeom prst="rect"/>
                  </pic:spPr>
                </pic:pic>
              </a:graphicData>
            </a:graphic>
          </wp:inline>
        </w:drawing>
      </w:r>
    </w:p>
    <w:p>
      <w:pPr>
        <w:spacing w:before="0" w:after="140" w:line="324" w:lineRule="auto"/>
        <w:ind w:firstLine="0"/>
        <w:jc w:val="both"/>
      </w:pPr>
      <w:r>
        <w:rPr>
          <w:rFonts w:ascii="Arial Unicode MS" w:hAnsi="Arial Unicode MS" w:eastAsia="Arial Unicode MS"/>
          <w:b w:val="0"/>
          <w:i w:val="0"/>
          <w:color w:val="172033"/>
          <w:sz w:val="22"/>
        </w:rPr>
        <w:t xml:space="preserve">图 2. 数据源覆盖、样本分期与单次预测的错位时间窗。上图给出各数据源的可得区间与训练、验证、已部分观察的时间外评价期及前瞻性样本外的划分，虚线数据源表示许可或预算尚未确定；下图给出单次预测中基础情绪易感性 X、协同推广 M、控制变量与结果窗口的相对位置。</w:t>
      </w:r>
    </w:p>
    <w:p>
      <w:pPr>
        <w:spacing w:before="0" w:after="140" w:line="324" w:lineRule="auto"/>
        <w:ind w:firstLine="440"/>
        <w:jc w:val="both"/>
      </w:pPr>
      <w:r>
        <w:rPr>
          <w:rFonts w:ascii="Arial Unicode MS" w:hAnsi="Arial Unicode MS" w:eastAsia="Arial Unicode MS"/>
          <w:b w:val="0"/>
          <w:i w:val="0"/>
          <w:color w:val="172033"/>
          <w:sz w:val="22"/>
        </w:rPr>
        <w:t xml:space="preserve">模型选择与最终评价严格分开。2024 年可以用于比较变量变换、正则化强度和操作阈值，但不得根据时间外评价期的结果重新选择特征或预测期。扩展窗口的每一折只使用当时已经发生的数据，训练窗逐步扩大；任何修订后的市值、后来补齐的社交字段或事后标签都必须保留其实际可用时间，不能回填到更早预测起点。</w:t>
      </w:r>
    </w:p>
    <w:p>
      <w:pPr>
        <w:pStyle w:val="Heading2"/>
      </w:pPr>
      <w:r>
        <w:t>4.4 数据采集与权限要求</w:t>
      </w:r>
    </w:p>
    <w:p>
      <w:pPr>
        <w:spacing w:before="0" w:after="140" w:line="324" w:lineRule="auto"/>
        <w:ind w:firstLine="440"/>
        <w:jc w:val="both"/>
      </w:pPr>
      <w:r>
        <w:rPr>
          <w:rFonts w:ascii="Arial Unicode MS" w:hAnsi="Arial Unicode MS" w:eastAsia="Arial Unicode MS"/>
          <w:b w:val="0"/>
          <w:i w:val="0"/>
          <w:color w:val="172033"/>
          <w:sz w:val="22"/>
        </w:rPr>
        <w:t>市场价格和交易变量是成本最低、覆盖最广的一层。交易所 API 可以提供 OHLCV、成交、主动买盘、资金费率和部分订单簿字段，CoinGecko、CryptoCompare 或许可供应商用于交叉检查价格和市值。交易所故障、下架、计价币变化和异常 K 线会影响递归泡沫日期，因此历史币种元数据必须与价格一起保存，不能只保留最终清洗序列。</w:t>
      </w:r>
    </w:p>
    <w:p>
      <w:pPr>
        <w:spacing w:before="0" w:after="140" w:line="324" w:lineRule="auto"/>
        <w:ind w:firstLine="440"/>
        <w:jc w:val="both"/>
      </w:pPr>
      <w:r>
        <w:rPr>
          <w:rFonts w:ascii="Arial Unicode MS" w:hAnsi="Arial Unicode MS" w:eastAsia="Arial Unicode MS"/>
          <w:b w:val="0"/>
          <w:i w:val="0"/>
          <w:color w:val="172033"/>
          <w:sz w:val="22"/>
        </w:rPr>
        <w:t xml:space="preserve">社交数据需要按来源制定权限策略，而历史获取的现实约束必须写在设计里而不是留到执行阶段。公开 Telegram 频道和群组可以在平台条款允许范围内通过 Telethon 采集；现有管道已经验证消息 ID、频道、时间、转发、回复和可用作者字段的标准化。Reddit 的历史批量获取自 Pushshift 于 2023 年被限制后明显变难，正式方案为：官方 API 用于近期与增量，2021-2023 年历史依赖已公开发布的 Reddit 全量转储（如 Academic Torrents 上的月度归档）并记录提取版本。X 的学术接口已于 2023 年终止，完整历史需 Enterprise 级许可，成本量级见 7.3 节；若预算不足，则以 StockTwits、公开 Discord 频道以及 LunarCrush/Santiment 等聚合社交指标（历史完整但粒度粗、不可追溯到消息级）作为替代广覆盖来源，把 X 限制在经过文档化的小样本验证，并明确缩小“广泛市场注意力”的表述范围。在任何情况下都不能把缺失平台编码为零关注。</w:t>
      </w:r>
    </w:p>
    <w:p>
      <w:pPr>
        <w:spacing w:before="0" w:after="140" w:line="324" w:lineRule="auto"/>
        <w:ind w:firstLine="440"/>
        <w:jc w:val="both"/>
      </w:pPr>
      <w:r>
        <w:rPr>
          <w:rFonts w:ascii="Arial Unicode MS" w:hAnsi="Arial Unicode MS" w:eastAsia="Arial Unicode MS"/>
          <w:b w:val="0"/>
          <w:i w:val="0"/>
          <w:color w:val="172033"/>
          <w:sz w:val="22"/>
        </w:rPr>
        <w:t>H1 至少需要一个覆盖面较广的讨论平台和稳定的市场数据。H2 还需要消息级作者、文本相似度、短窗同步和互动字段，只有聚合日度发帖量不足以识别协同推广。H3 的最低要求更高：供应商或可复现浏览器管道必须给出交易所地址、托管服务、桥、质押合约和已知系统地址，并允许区分流入、流出和内部转账。若最终只有原始 whale alert，H3 不能按主假设估计。</w:t>
      </w:r>
    </w:p>
    <w:p>
      <w:pPr>
        <w:spacing w:before="0" w:after="140" w:line="324" w:lineRule="auto"/>
        <w:ind w:firstLine="440"/>
        <w:jc w:val="both"/>
      </w:pPr>
      <w:r>
        <w:rPr>
          <w:rFonts w:ascii="Arial Unicode MS" w:hAnsi="Arial Unicode MS" w:eastAsia="Arial Unicode MS"/>
          <w:b w:val="0"/>
          <w:i w:val="0"/>
          <w:color w:val="172033"/>
          <w:sz w:val="22"/>
        </w:rPr>
        <w:t>供应商接入在正式建模前完成可行性审计，包括许可范围、历史起点、字段定义、更新频率、速率限制、删除或修订规则以及是否允许公布聚合结果。每个来源建立替代矩阵，说明主来源失效时可以使用的第二来源及变量损失。研究不以获得所有理想平台为前提，但必须在开模前明确哪些结论因数据权限而缩小。</w:t>
      </w:r>
    </w:p>
    <w:p>
      <w:pPr>
        <w:pStyle w:val="Heading2"/>
      </w:pPr>
      <w:r>
        <w:t>4.5 清洗、去重与时间对齐</w:t>
      </w:r>
    </w:p>
    <w:p>
      <w:pPr>
        <w:spacing w:before="0" w:after="140" w:line="324" w:lineRule="auto"/>
        <w:ind w:firstLine="440"/>
        <w:jc w:val="both"/>
      </w:pPr>
      <w:r>
        <w:rPr>
          <w:rFonts w:ascii="Arial Unicode MS" w:hAnsi="Arial Unicode MS" w:eastAsia="Arial Unicode MS"/>
          <w:b w:val="0"/>
          <w:i w:val="0"/>
          <w:color w:val="172033"/>
          <w:sz w:val="22"/>
        </w:rPr>
        <w:t>币种身份通过带版本的主表解析，而不是只按 ticker 字符串匹配。同一符号可能被重复使用，交易所还会发生更名、换币和链迁移。每条记录连接内部 coin_id、链、合约地址、交易所和有效日期；wrapped 版本与迁移前后代币保留独立原始实体，只有在书面规则允许时才聚合。</w:t>
      </w:r>
    </w:p>
    <w:p>
      <w:pPr>
        <w:spacing w:before="0" w:after="140" w:line="324" w:lineRule="auto"/>
        <w:ind w:firstLine="440"/>
        <w:jc w:val="both"/>
      </w:pPr>
      <w:r>
        <w:rPr>
          <w:rFonts w:ascii="Arial Unicode MS" w:hAnsi="Arial Unicode MS" w:eastAsia="Arial Unicode MS"/>
          <w:b w:val="0"/>
          <w:i w:val="0"/>
          <w:color w:val="172033"/>
          <w:sz w:val="22"/>
        </w:rPr>
        <w:t>社交去重在两个层次进行。完全相同的来源记录属于抓取重复，应从 clean 层删除；不同作者重复发布相同或近似文本，可能正是协同行为，不能一并去掉。清洗层同时保留原始 message ID 和规范化文本 hash，使抓取错误与实质性重复能够区分。转发、引用、回复和机器人可能性分别编码，不在清洗阶段根据主观判断整体剔除。</w:t>
      </w:r>
    </w:p>
    <w:p>
      <w:pPr>
        <w:spacing w:before="0" w:after="140" w:line="324" w:lineRule="auto"/>
        <w:ind w:firstLine="440"/>
        <w:jc w:val="both"/>
      </w:pPr>
      <w:r>
        <w:rPr>
          <w:rFonts w:ascii="Arial Unicode MS" w:hAnsi="Arial Unicode MS" w:eastAsia="Arial Unicode MS"/>
          <w:b w:val="0"/>
          <w:i w:val="0"/>
          <w:color w:val="172033"/>
          <w:sz w:val="22"/>
        </w:rPr>
        <w:t>全部时间统一为 UTC，同时保留原始时区或来源偏移。日度市场变量只在当天结束后才可用于后续预测，不能把日末值填入更早小时。滚动特征在预测起点截止并按过去方向计算。每个 model 表都通过自动规则验证 `feature_cutoff &lt;= forecast_origin &lt; outcome_start`，任何违反记录都阻止模型运行。</w:t>
      </w:r>
    </w:p>
    <w:p>
      <w:pPr>
        <w:spacing w:before="0" w:after="140" w:line="324" w:lineRule="auto"/>
        <w:ind w:firstLine="440"/>
        <w:jc w:val="both"/>
      </w:pPr>
      <w:r>
        <w:rPr>
          <w:rFonts w:ascii="Arial Unicode MS" w:hAnsi="Arial Unicode MS" w:eastAsia="Arial Unicode MS"/>
          <w:b w:val="0"/>
          <w:i w:val="0"/>
          <w:color w:val="172033"/>
          <w:sz w:val="22"/>
        </w:rPr>
        <w:t>小时级社交活动不能从日度总量反向均分，日度链上指标也不能复制到更早小时后冒充实时可见。主小时模型可以连接最近一个在预测起点前已经发布的低频值，并设置可用性标志；无法合理对齐的变量进入日度稳健性模型。数据处理同时记录平台中断、接口上限和消息截断，使覆盖问题成为显式变量。</w:t>
      </w:r>
    </w:p>
    <w:p>
      <w:pPr>
        <w:pStyle w:val="Heading2"/>
      </w:pPr>
      <w:r>
        <w:t>4.6 覆盖阈值、事件数量与 go/no-go 规则</w:t>
      </w:r>
    </w:p>
    <w:p>
      <w:pPr>
        <w:spacing w:before="0" w:after="140" w:line="324" w:lineRule="auto"/>
        <w:ind w:firstLine="440"/>
        <w:jc w:val="both"/>
      </w:pPr>
      <w:r>
        <w:rPr>
          <w:rFonts w:ascii="Arial Unicode MS" w:hAnsi="Arial Unicode MS" w:eastAsia="Arial Unicode MS"/>
          <w:b w:val="0"/>
          <w:i w:val="0"/>
          <w:color w:val="172033"/>
          <w:sz w:val="22"/>
        </w:rPr>
        <w:t xml:space="preserve">覆盖质量按币种、平台、月份和特征家族评估。核心推断样本要求预设比例的有效观测日、泡沫事件前无长缺口，并保证 H2 所需作者字段较稳定。某币种可以进入 H1 扩展样本但不进入 H2 机制样本；链上方向可靠但社交不足的币种，也可以只进入 H3 的有边界分析。不同假设使用不同样本属于设计事实，不应用一个 pooled 面板掩盖。</w:t>
      </w:r>
    </w:p>
    <w:p>
      <w:pPr>
        <w:spacing w:before="0" w:after="140" w:line="324" w:lineRule="auto"/>
        <w:ind w:firstLine="440"/>
        <w:jc w:val="both"/>
      </w:pPr>
      <w:r>
        <w:rPr>
          <w:rFonts w:ascii="Arial Unicode MS" w:hAnsi="Arial Unicode MS" w:eastAsia="Arial Unicode MS"/>
          <w:b w:val="0"/>
          <w:i w:val="0"/>
          <w:color w:val="172033"/>
          <w:sz w:val="22"/>
        </w:rPr>
        <w:t xml:space="preserve">有效样本量以独立泡沫进入事件数和独立市场阶段为主，而不是以行数为主。这一点必须在开题阶段就给出数量级，而不能推迟到正式估计前：如果独立事件数量太少，本文的三个假设都不具备可检验性，整个设计需要重写而不是重跑。表 4 用 6.2 节 pilot 的实测标记结果向上推算了各层级的有效样本量，其中最关键的一行不是币-日行数，而是跨币同步之后剩下的全市场独立周期数——它才是双向聚类下的有效 cluster 数，也是模型复杂度的真实上限。表 4 各行的数量级由 6.2 节 pilot 的实测标记结果推算，正式数字由一套可复现管道生成（代码见 research/bsadf，含与 Phillips-Shi-Yu 公布的有限样本临界值表的一致性检验、路径级 size 检验，以及植入爆炸段的定位检验），该管道同时输出逐币种、逐 episode 和逐全市场周期的明细，供答辩现场复核。</w:t>
      </w:r>
    </w:p>
    <w:p>
      <w:pPr>
        <w:spacing w:before="0" w:after="140" w:line="324" w:lineRule="auto"/>
        <w:ind w:firstLine="440"/>
        <w:jc w:val="both"/>
      </w:pPr>
      <w:r>
        <w:rPr>
          <w:rFonts w:ascii="Arial Unicode MS" w:hAnsi="Arial Unicode MS" w:eastAsia="Arial Unicode MS"/>
          <w:b w:val="0"/>
          <w:i w:val="0"/>
          <w:color w:val="172033"/>
          <w:sz w:val="22"/>
        </w:rPr>
        <w:t xml:space="preserve">推算过程可以直接从 6.2 节读出。13 个目标币在 strict pilot 规则下共产生约 111 个泡沫标记日，但 ZEC 的 44 天几乎全部落在同一段行情内，SHIB、PEPE、DOGE 的标记又集中在 2024 年 3 月初的同一个 meme 周期。把连续标记按最短间隔规则合并为 episode 之后，币内独立 episode 大约只有 20-35 个；再扣除跨币同步，真正独立的全市场周期可能只有 8-15 个。这解释了为什么 pilot 的中介区间宽达 [-1.231, 2.363]：其有效重抽样单位约为 5，而不是 170。</w:t>
      </w:r>
    </w:p>
    <w:p>
      <w:pPr>
        <w:spacing w:before="0" w:after="140" w:line="324" w:lineRule="auto"/>
        <w:ind w:firstLine="440"/>
        <w:jc w:val="both"/>
      </w:pPr>
      <w:r>
        <w:rPr>
          <w:rFonts w:ascii="Arial Unicode MS" w:hAnsi="Arial Unicode MS" w:eastAsia="Arial Unicode MS"/>
          <w:b w:val="0"/>
          <w:i w:val="0"/>
          <w:color w:val="172033"/>
          <w:sz w:val="22"/>
        </w:rPr>
        <w:t xml:space="preserve">因此，正式研究把功效与精度模拟从“估计前完成”提前为“设计冻结前完成”，并在开题答辩材料中一并提交。模拟须复现预期正例率、跨币相关、事件内序列相关和缺失结构，输出三项数字：核心样本的预期独立 episode 数、在 1% 与 5% 误报率下可检测的最小 PR-AUC 增量，以及在既定 cluster 数下可稳定估计的自变量上限。若模拟显示核心样本的全市场独立周期不足 10 个，则 H1 的异质性检验（H1c、H1d）与 H2 的中介分解必须预先降级为探索性分析，H3c 的置换检验则不应进入主结果。</w:t>
      </w:r>
    </w:p>
    <w:p>
      <w:pPr>
        <w:spacing w:before="0" w:after="140" w:line="324" w:lineRule="auto"/>
        <w:ind w:firstLine="440"/>
        <w:jc w:val="both"/>
      </w:pPr>
      <w:r>
        <w:rPr>
          <w:rFonts w:ascii="Arial Unicode MS" w:hAnsi="Arial Unicode MS" w:eastAsia="Arial Unicode MS"/>
          <w:b w:val="0"/>
          <w:i w:val="0"/>
          <w:color w:val="172033"/>
          <w:sz w:val="22"/>
        </w:rPr>
        <w:t xml:space="preserve">表 4. 有效样本量的分层推算与对模型复杂度的约束</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750"/>
        <w:gridCol w:w="2650"/>
        <w:gridCol w:w="1750"/>
        <w:gridCol w:w="2876"/>
      </w:tblGrid>
      <w:tr>
        <w:trPr>
          <w:tblHeader w:val="true"/>
          <w:cantSplit/>
        </w:trPr>
        <w:tc>
          <w:tcPr>
            <w:tcW w:type="dxa" w:w="175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层级</w:t>
            </w:r>
          </w:p>
        </w:tc>
        <w:tc>
          <w:tcPr>
            <w:tcW w:type="dxa" w:w="265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推算依据</w:t>
            </w:r>
          </w:p>
        </w:tc>
        <w:tc>
          <w:tcPr>
            <w:tcW w:type="dxa" w:w="175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数量级</w:t>
            </w:r>
          </w:p>
        </w:tc>
        <w:tc>
          <w:tcPr>
            <w:tcW w:type="dxa" w:w="287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对设计的约束</w:t>
            </w:r>
          </w:p>
        </w:tc>
      </w:tr>
      <w:tr>
        <w:trPr>
          <w:cantSplit/>
        </w:trPr>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币-日观测行数</w:t>
            </w:r>
          </w:p>
        </w:tc>
        <w:tc>
          <w:tcPr>
            <w:tcW w:type="dxa" w:w="26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13 币 × 约 999 日（pilot）</w:t>
            </w:r>
          </w:p>
        </w:tc>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约 1.3 万行</w:t>
            </w:r>
          </w:p>
        </w:tc>
        <w:tc>
          <w:tcPr>
            <w:tcW w:type="dxa" w:w="28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不是有效样本量；不能用于辩护模型复杂度</w:t>
            </w:r>
          </w:p>
        </w:tc>
      </w:tr>
      <w:tr>
        <w:trPr>
          <w:cantSplit/>
        </w:trPr>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泡沫标记日</w:t>
            </w:r>
          </w:p>
        </w:tc>
        <w:tc>
          <w:tcPr>
            <w:tcW w:type="dxa" w:w="26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6.2 节 strict pilot 实测（0 至 44 天不等）</w:t>
            </w:r>
          </w:p>
        </w:tc>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约 111 币-日</w:t>
            </w:r>
          </w:p>
        </w:tc>
        <w:tc>
          <w:tcPr>
            <w:tcW w:type="dxa" w:w="28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同一段行情内的相邻标记日高度相关</w:t>
            </w:r>
          </w:p>
        </w:tc>
      </w:tr>
      <w:tr>
        <w:trPr>
          <w:cantSplit/>
        </w:trPr>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币内独立 episode</w:t>
            </w:r>
          </w:p>
        </w:tc>
        <w:tc>
          <w:tcPr>
            <w:tcW w:type="dxa" w:w="26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按最短持续期与最短间隔规则合并连续标记</w:t>
            </w:r>
          </w:p>
        </w:tc>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估计 20-35</w:t>
            </w:r>
          </w:p>
        </w:tc>
        <w:tc>
          <w:tcPr>
            <w:tcW w:type="dxa" w:w="28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每个 episode 约提供 1 个有效观测</w:t>
            </w:r>
          </w:p>
        </w:tc>
      </w:tr>
      <w:tr>
        <w:trPr>
          <w:cantSplit/>
        </w:trPr>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全市场独立周期</w:t>
            </w:r>
          </w:p>
        </w:tc>
        <w:tc>
          <w:tcPr>
            <w:tcW w:type="dxa" w:w="26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扣除跨币同步（如 2024 年 3 月 meme 周期）</w:t>
            </w:r>
          </w:p>
        </w:tc>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估计 8-15</w:t>
            </w:r>
          </w:p>
        </w:tc>
        <w:tc>
          <w:tcPr>
            <w:tcW w:type="dxa" w:w="28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双向聚类下的有效 cluster 数；决定推断精度</w:t>
            </w:r>
          </w:p>
        </w:tc>
      </w:tr>
      <w:tr>
        <w:trPr>
          <w:cantSplit/>
        </w:trPr>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正式核心样本外推</w:t>
            </w:r>
          </w:p>
        </w:tc>
        <w:tc>
          <w:tcPr>
            <w:tcW w:type="dxa" w:w="26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30-50 币 × 2021-2025，按 pilot 事件率外推</w:t>
            </w:r>
          </w:p>
        </w:tc>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待功效模拟确认</w:t>
            </w:r>
          </w:p>
        </w:tc>
        <w:tc>
          <w:tcPr>
            <w:tcW w:type="dxa" w:w="28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设计冻结前必须给出点估计与区间</w:t>
            </w:r>
          </w:p>
        </w:tc>
      </w:tr>
      <w:tr>
        <w:trPr>
          <w:cantSplit/>
        </w:trPr>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可支持的自变量数</w:t>
            </w:r>
          </w:p>
        </w:tc>
        <w:tc>
          <w:tcPr>
            <w:tcW w:type="dxa" w:w="26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以全市场周期为 cluster，按每 cluster 不超过 1 个自由参数</w:t>
            </w:r>
          </w:p>
        </w:tc>
        <w:tc>
          <w:tcPr>
            <w:tcW w:type="dxa" w:w="1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主模型 8-12 个预设变量</w:t>
            </w:r>
          </w:p>
        </w:tc>
        <w:tc>
          <w:tcPr>
            <w:tcW w:type="dxa" w:w="28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超出部分只能作为探索性结果报告</w:t>
            </w:r>
          </w:p>
        </w:tc>
      </w:tr>
    </w:tbl>
    <w:p>
      <w:pPr>
        <w:spacing w:before="0" w:after="140" w:line="324" w:lineRule="auto"/>
        <w:ind w:firstLine="440"/>
        <w:jc w:val="both"/>
      </w:pPr>
      <w:r>
        <w:rPr>
          <w:rFonts w:ascii="Arial Unicode MS" w:hAnsi="Arial Unicode MS" w:eastAsia="Arial Unicode MS"/>
          <w:b w:val="0"/>
          <w:i w:val="0"/>
          <w:color w:val="172033"/>
          <w:sz w:val="22"/>
        </w:rPr>
        <w:t>正式估计前记录 go/no-go 决策。H1 需要市场标签与至少一个社交来源达到覆盖门槛；H2 需要作者和文本相似度字段覆盖可辩护的跨币样本；H3 需要实体标签、方向性流量和足够事件。未达到门槛时，不以较弱代理替代核心构念，而是降为扩展、案例或数据限制章节。</w:t>
      </w:r>
    </w:p>
    <w:p>
      <w:pPr>
        <w:pStyle w:val="Heading2"/>
      </w:pPr>
      <w:r>
        <w:t xml:space="preserve">4.7 社交数据的覆盖偏差与生存者偏差</w:t>
      </w:r>
    </w:p>
    <w:p>
      <w:pPr>
        <w:spacing w:before="0" w:after="140" w:line="324" w:lineRule="auto"/>
        <w:ind w:firstLine="440"/>
        <w:jc w:val="both"/>
      </w:pPr>
      <w:r>
        <w:rPr>
          <w:rFonts w:ascii="Arial Unicode MS" w:hAnsi="Arial Unicode MS" w:eastAsia="Arial Unicode MS"/>
          <w:b w:val="0"/>
          <w:i w:val="0"/>
          <w:color w:val="172033"/>
          <w:sz w:val="22"/>
        </w:rPr>
        <w:t xml:space="preserve">4.1 节对币种池做了时点化处理，以避免用当前排名倒推历史样本。但这一修正在社交层会自动失效，而现有稿件没有处理这一点。2021 年存在、其后被删除、封禁或解散的 Telegram 频道和 subreddit 是不可恢复的：采集只能触及“今天仍然存在”的频道。问题在于偏差方向——跑路项目、被交易所下架的代币以及已被平台处置的 pump 群，恰恰是最可能消失的一类，也恰恰是本文最想研究的一类。换言之，币价数据的生存者偏差被修正了，社交数据的生存者偏差却与研究对象同向，会系统性地低估协同推广的普遍程度。</w:t>
      </w:r>
    </w:p>
    <w:p>
      <w:pPr>
        <w:spacing w:before="0" w:after="140" w:line="324" w:lineRule="auto"/>
        <w:ind w:firstLine="440"/>
        <w:jc w:val="both"/>
      </w:pPr>
      <w:r>
        <w:rPr>
          <w:rFonts w:ascii="Arial Unicode MS" w:hAnsi="Arial Unicode MS" w:eastAsia="Arial Unicode MS"/>
          <w:b w:val="0"/>
          <w:i w:val="0"/>
          <w:color w:val="172033"/>
          <w:sz w:val="22"/>
        </w:rPr>
        <w:t xml:space="preserve">本文不声称可以消除该偏差，只要求把它变成可测量、可报告的量。正式研究报告四组数字：第一，币种池中具备社交覆盖与不具备社交覆盖两组的泡沫发生率与退市率对比；第二，每个币种社交覆盖起始日期的分布，以及它与该币上市日期的差值；第三，采集到的频道存续期分布，以及在样本期内消失的频道占比（对 Telegram 可通过历史转发引用间接估计）；第四，因频道消失而无法覆盖的已知 pump 事件占已知事件目录的比例，这是对漏报率的直接下界估计。</w:t>
      </w:r>
    </w:p>
    <w:p>
      <w:pPr>
        <w:spacing w:before="0" w:after="140" w:line="324" w:lineRule="auto"/>
        <w:ind w:firstLine="440"/>
        <w:jc w:val="both"/>
      </w:pPr>
      <w:r>
        <w:rPr>
          <w:rFonts w:ascii="Arial Unicode MS" w:hAnsi="Arial Unicode MS" w:eastAsia="Arial Unicode MS"/>
          <w:b w:val="0"/>
          <w:i w:val="0"/>
          <w:color w:val="172033"/>
          <w:sz w:val="22"/>
        </w:rPr>
        <w:t xml:space="preserve">敏感性分析采用“存续子集”设计：只保留在预测起点当时即已存在、且至今仍存续的频道重新估计主模型。若主结果只在全样本中成立而在存续子集中消失，说明结果依赖于事后仍可见的社群，外部有效性需要相应收窄。同理，Reddit 侧需报告删除帖与被移除内容的比例，因为历史归档与官方 API 对已删除内容的处理规则并不一致。</w:t>
      </w:r>
    </w:p>
    <w:p>
      <w:pPr>
        <w:pStyle w:val="Heading2"/>
      </w:pPr>
      <w:r>
        <w:t xml:space="preserve">4.8 泡沫状态、进入、退出与强度</w:t>
      </w:r>
    </w:p>
    <w:p>
      <w:pPr>
        <w:spacing w:before="0" w:after="140" w:line="324" w:lineRule="auto"/>
        <w:ind w:firstLine="440"/>
        <w:jc w:val="both"/>
      </w:pPr>
      <w:r>
        <w:rPr>
          <w:rFonts w:ascii="Arial Unicode MS" w:hAnsi="Arial Unicode MS" w:eastAsia="Arial Unicode MS"/>
          <w:b w:val="0"/>
          <w:i w:val="0"/>
          <w:color w:val="172033"/>
          <w:sz w:val="22"/>
        </w:rPr>
        <w:t xml:space="preserve">对每个币种的对数价格序列进行递归右尾 ADF 回归，基准频率为日度。GSADF 判断是否至少存在一次爆炸过程，BSADF 序列与递归临界值比较以标记状态。正式泡沫进入定义为在满足预设临界值和最短持续期规则后，状态由 0 转为 1；状态回到 0 定义为退出；BSADF 与临界值的距离定义为泡沫强度，该距离同时作为第五章预测基准模型的必备自变量。</w:t>
      </w:r>
    </w:p>
    <w:p>
      <w:pPr>
        <w:spacing w:before="40" w:after="80"/>
        <w:jc w:val="center"/>
      </w:pPr>
      <w:r>
        <w:rPr>
          <w:rFonts w:ascii="Arial Unicode MS" w:hAnsi="Arial Unicode MS" w:eastAsia="Arial Unicode MS"/>
          <w:b w:val="0"/>
          <w:i/>
          <w:color w:val="17365D"/>
          <w:sz w:val="17"/>
        </w:rPr>
        <w:t>公式（1）: Delta p(i,t) = alpha + beta p(i,t-1) + sum[j=1..k] phi(j) Delta p(i,t-j) + error(i,t)</w:t>
      </w:r>
    </w:p>
    <w:p>
      <w:pPr>
        <w:spacing w:before="0" w:after="140" w:line="324" w:lineRule="auto"/>
        <w:ind w:firstLine="440"/>
        <w:jc w:val="both"/>
      </w:pPr>
      <w:r>
        <w:rPr>
          <w:rFonts w:ascii="Arial Unicode MS" w:hAnsi="Arial Unicode MS" w:eastAsia="Arial Unicode MS"/>
          <w:b w:val="0"/>
          <w:i w:val="0"/>
          <w:color w:val="172033"/>
          <w:sz w:val="22"/>
        </w:rPr>
        <w:t xml:space="preserve">主标签采用 95% 递归临界值和建模前固定的最短持续期。稳健性标签包括 90% 和 99% 阈值、最低 BSADF 统计量规则、替代滞后、替代价格来源，以及异方差明显时的 wild bootstrap 临界值（Phillips and Shi, 2020）。正式 bootstrap 重复次数必须足以稳定估计尾部临界值，不低于 2,000 次，并显著高于 pilot 的 99 次。还有一项现稿未处理的问题：在 30-50 个币种上分别以 95% 水平运行 GSADF，按构造即会产生可观数量的假阳性标签。正式研究因此报告横截面层面的期望假标签率，并给出一个更严格的对照标签集（如 99% 阈值加最短持续期加成），所有主结果须在两套标签下同时呈现。</w:t>
      </w:r>
    </w:p>
    <w:p>
      <w:pPr>
        <w:spacing w:before="0" w:after="140" w:line="324" w:lineRule="auto"/>
        <w:ind w:firstLine="440"/>
        <w:jc w:val="both"/>
      </w:pPr>
      <w:r>
        <w:rPr>
          <w:rFonts w:ascii="Arial Unicode MS" w:hAnsi="Arial Unicode MS" w:eastAsia="Arial Unicode MS"/>
          <w:b w:val="0"/>
          <w:i w:val="0"/>
          <w:color w:val="172033"/>
          <w:sz w:val="22"/>
        </w:rPr>
        <w:t xml:space="preserve">这一问题在实现层面已经得到量化，并改变了标签程序本身。逐点递归临界值序列并不是一条 size-controlled 的边界：同一条路径在 T 个端点上被反复检视，一条无漂移随机游走因而以远高于名义水平的概率在某处越线——在 T=300、1,200 次模拟的检验中，越线比例超过 50%，而不是 5%。若在 30-50 个币种上直接按逐点 95% 分位数标定日期，假标签会按构造大量产生，而这些假标签又会进入 H1 的结果变量。</w:t>
      </w:r>
    </w:p>
    <w:p>
      <w:pPr>
        <w:spacing w:before="0" w:after="140" w:line="324" w:lineRule="auto"/>
        <w:ind w:firstLine="440"/>
        <w:jc w:val="both"/>
      </w:pPr>
      <w:r>
        <w:rPr>
          <w:rFonts w:ascii="Arial Unicode MS" w:hAnsi="Arial Unicode MS" w:eastAsia="Arial Unicode MS"/>
          <w:b w:val="0"/>
          <w:i w:val="0"/>
          <w:color w:val="172033"/>
          <w:sz w:val="22"/>
        </w:rPr>
        <w:t xml:space="preserve">正式研究因此采用两阶段标签程序。第一阶段是币种层面的 GSADF 检验：以 sup 分布临界值判断该币种在样本期内是否至少存在一次爆炸过程，未通过者不进入日期标定。第二阶段才对通过的币种用 BSADF 序列标定日期，且比较对象不是逐点分位数，而是经模拟标定的路径级边界——在逐点序列上加一个常数偏移，偏移量使整条路径在零假设下的假警报率等于名义水平，这与实时监测文献的处理一致（Phillips and Shi, 2020）。两阶段结果与「无门槛逐点标定」结果必须并列报告，二者的 episode 数之差就是本设计所声明的预期假标签量。合成数据检验中，同一面板在两种口径下分别得到 6 个与 25 个 episode，说明这一差别不是修辞问题。</w:t>
      </w:r>
    </w:p>
    <w:p>
      <w:pPr>
        <w:spacing w:before="0" w:after="140" w:line="324" w:lineRule="auto"/>
        <w:ind w:firstLine="440"/>
        <w:jc w:val="both"/>
      </w:pPr>
      <w:r>
        <w:rPr>
          <w:rFonts w:ascii="Arial Unicode MS" w:hAnsi="Arial Unicode MS" w:eastAsia="Arial Unicode MS"/>
          <w:b w:val="0"/>
          <w:i w:val="0"/>
          <w:color w:val="172033"/>
          <w:sz w:val="22"/>
        </w:rPr>
        <w:t xml:space="preserve">为使标签规则可复核，本文在第五章给出 BSADF 的形式化定义与进入日的判定式，第四章只固定其参数：价格来源、对数变换、滞后阶数、最小窗口 r0、临界水平、最短持续期与 bootstrap 重复次数，全部列入附录 A 的冻结清单。小时级标签只在 Telegram 爆发窗口的机制分析中作为辅助使用，且不用于生成主结果变量。</w:t>
      </w:r>
    </w:p>
    <w:p>
      <w:pPr>
        <w:spacing w:before="0" w:after="140" w:line="324" w:lineRule="auto"/>
        <w:ind w:firstLine="440"/>
        <w:jc w:val="both"/>
      </w:pPr>
      <w:r>
        <w:rPr>
          <w:rFonts w:ascii="Arial Unicode MS" w:hAnsi="Arial Unicode MS" w:eastAsia="Arial Unicode MS"/>
          <w:b w:val="0"/>
          <w:i w:val="0"/>
          <w:color w:val="172033"/>
          <w:sz w:val="22"/>
        </w:rPr>
        <w:t xml:space="preserve">在预测起点 t 且当前不处于泡沫时，如果未来 h 期内开始新的进入，则结果变量为 1。主频率下预设预测期为 1 日、3 日和 7 日，小时级稳健性模型对应 24、72 和 168 小时。未来窗口与既有泡沫重叠的观测将从进入风险集排除，或在多状态模型中单独处理。</w:t>
      </w:r>
    </w:p>
    <w:p>
      <w:pPr>
        <w:pStyle w:val="Heading2"/>
      </w:pPr>
      <w:r>
        <w:t xml:space="preserve">4.9 社交扩散、散户情绪与协同推广</w:t>
      </w:r>
    </w:p>
    <w:p>
      <w:pPr>
        <w:spacing w:before="0" w:after="140" w:line="324" w:lineRule="auto"/>
        <w:ind w:firstLine="440"/>
        <w:jc w:val="both"/>
      </w:pPr>
      <w:r>
        <w:rPr>
          <w:rFonts w:ascii="Arial Unicode MS" w:hAnsi="Arial Unicode MS" w:eastAsia="Arial Unicode MS"/>
          <w:b w:val="0"/>
          <w:i w:val="0"/>
          <w:color w:val="172033"/>
          <w:sz w:val="22"/>
        </w:rPr>
        <w:t>扩散变量包括帖子和评论数、独立作者、互动量、回复/转发深度、级联规模、传播速度、跨平台扩散、KOL 占比，以及在币种和平台内部标准化的社交量冲击。重尾计数采用对数或其他预设变换。在构造任何 pooled 指数前，保留各平台独立指标。</w:t>
      </w:r>
    </w:p>
    <w:p>
      <w:pPr>
        <w:spacing w:before="0" w:after="140" w:line="324" w:lineRule="auto"/>
        <w:ind w:firstLine="440"/>
        <w:jc w:val="both"/>
      </w:pPr>
      <w:r>
        <w:rPr>
          <w:rFonts w:ascii="Arial Unicode MS" w:hAnsi="Arial Unicode MS" w:eastAsia="Arial Unicode MS"/>
          <w:b w:val="0"/>
          <w:i w:val="0"/>
          <w:color w:val="172033"/>
          <w:sz w:val="22"/>
        </w:rPr>
        <w:t xml:space="preserve">情绪变量包括平均极性、互动加权极性、正负尾部比例、离散度、极端情绪比例、FOMO、FUD、目标价语言、确定性和意见分歧。主检验比较平均语调与极化/尾部指标。由于 moon、pump、rug、bag、diamond hands 等具有领域含义，通用词典只作为透明基准，不承担正式测量。</w:t>
      </w:r>
    </w:p>
    <w:p>
      <w:pPr>
        <w:spacing w:before="0" w:after="140" w:line="324" w:lineRule="auto"/>
        <w:ind w:firstLine="440"/>
        <w:jc w:val="both"/>
      </w:pPr>
      <w:r>
        <w:rPr>
          <w:rFonts w:ascii="Arial Unicode MS" w:hAnsi="Arial Unicode MS" w:eastAsia="Arial Unicode MS"/>
          <w:b w:val="0"/>
          <w:i w:val="0"/>
          <w:color w:val="172033"/>
          <w:sz w:val="22"/>
        </w:rPr>
        <w:t xml:space="preserve">文本模型采用三层递进方案，三层在同一份人工标注 gold set 上以相同指标比较，择优者进入主分析，其余作为稳健性：第一层为通用金融词典（透明、可复制、可解释，作为下界基准）；第二层为加密语域上微调的编码器模型；第三层为大语言模型 few-shot 或指令式分类器，对讽刺、引用、表情符号和多语种表达的处理预期最好，但必须固定模型版本、提示词与随机种子并归档，否则不满足可复现要求。任何一层都不得在未经 gold set 验证的情况下直接用于生成主分析变量。</w:t>
      </w:r>
    </w:p>
    <w:p>
      <w:pPr>
        <w:spacing w:before="0" w:after="140" w:line="324" w:lineRule="auto"/>
        <w:ind w:firstLine="440"/>
        <w:jc w:val="both"/>
      </w:pPr>
      <w:r>
        <w:rPr>
          <w:rFonts w:ascii="Arial Unicode MS" w:hAnsi="Arial Unicode MS" w:eastAsia="Arial Unicode MS"/>
          <w:b w:val="0"/>
          <w:i w:val="0"/>
          <w:color w:val="172033"/>
          <w:sz w:val="22"/>
        </w:rPr>
        <w:t xml:space="preserve">Gold set 的规格在设计冻结阶段固定：分层抽取 3,000-5,000 条消息，按币种类别、平台、市场阶段（泡沫前/中/后与匹配非事件期）和语言分层；每条至少两名编码者独立标注，分歧由第三人裁决；一致性以 Cohen κ 或 Krippendorff α 报告，阈值设为 κ ≥ 0.70，未达标的构念不得进入主分析。报告内容包括分类别 precision/recall/F1、按币种与按语言的误差分解，以及在讽刺、引用、转发和广告式文本上的专项表现。</w:t>
      </w:r>
    </w:p>
    <w:p>
      <w:pPr>
        <w:spacing w:before="0" w:after="140" w:line="324" w:lineRule="auto"/>
        <w:ind w:firstLine="440"/>
        <w:jc w:val="both"/>
      </w:pPr>
      <w:r>
        <w:rPr>
          <w:rFonts w:ascii="Arial Unicode MS" w:hAnsi="Arial Unicode MS" w:eastAsia="Arial Unicode MS"/>
          <w:b w:val="0"/>
          <w:i w:val="0"/>
          <w:color w:val="172033"/>
          <w:sz w:val="22"/>
        </w:rPr>
        <w:t xml:space="preserve">多语种与自动化账号必须显式处理。加密社群中的中文、俄语、韩语、土耳其语和西班牙语内容占比可观，正式管道加入语言识别字段，gold set 按语言分层，并分语言报告模型性能；若某语言性能不达标，该语言内容以覆盖标志标记而不是并入英语指标。机器人可能性作为独立打分变量进入模型（基于发帖间隔规律性、文本模板化程度、账号创建时间与互动比），并作为协同推广强度的必备对照——区分“有组织推广”与“机器人垃圾信息”是该构念有效性的核心，不能只在限制部分以脚注形式提及。</w:t>
      </w:r>
    </w:p>
    <w:p>
      <w:pPr>
        <w:spacing w:before="0" w:after="140" w:line="324" w:lineRule="auto"/>
        <w:ind w:firstLine="440"/>
        <w:jc w:val="both"/>
      </w:pPr>
      <w:r>
        <w:rPr>
          <w:rFonts w:ascii="Arial Unicode MS" w:hAnsi="Arial Unicode MS" w:eastAsia="Arial Unicode MS"/>
          <w:b w:val="0"/>
          <w:i w:val="0"/>
          <w:color w:val="172033"/>
          <w:sz w:val="22"/>
        </w:rPr>
        <w:t xml:space="preserve">中介变量是由预设可观测成分构成的潜在或综合协同推广状态：近重复文本比例、短窗发帖同步、跨账号链接或短语重合、作者集中度/HHI、爆发强度、pump 和保证收益语言、KOL 同步、异常互动，以及可用时的异常成交量或订单簿信号。文本相似度采用确定性清洗加 MinHash、余弦相似度或验证后的 embedding。阈值只能在训练数据中的已知事件和非事件对照上选择。</w:t>
      </w:r>
    </w:p>
    <w:p>
      <w:pPr>
        <w:spacing w:before="0" w:after="140" w:line="324" w:lineRule="auto"/>
        <w:ind w:firstLine="440"/>
        <w:jc w:val="both"/>
      </w:pPr>
      <w:r>
        <w:rPr>
          <w:rFonts w:ascii="Arial Unicode MS" w:hAnsi="Arial Unicode MS" w:eastAsia="Arial Unicode MS"/>
          <w:b w:val="0"/>
          <w:i w:val="0"/>
          <w:color w:val="172033"/>
          <w:sz w:val="22"/>
        </w:rPr>
        <w:t xml:space="preserve">这里需要说明一处相对前稿的更名。本文此前把该构念称为“操纵传播”，现统一改称“协同推广强度”（coordinated promotion intensity）。更名有两个理由：其一，测量内容本身是同步、重复与账号集中等可观察行为，并不观察主观意图，用“操纵”命名会让构念名称超出其测量内容；其二，本研究会把连续代理值挂到具名的真实币种和具体日期上并公开发表，以“操纵”为名存在现实的声誉与法律风险。“操纵”一词此后只保留给已确认的 pump 事件目录与监管、司法认定，二者在数据层分别编码，不得混用。</w:t>
      </w:r>
    </w:p>
    <w:p>
      <w:pPr>
        <w:spacing w:before="0" w:after="140" w:line="324" w:lineRule="auto"/>
        <w:ind w:firstLine="440"/>
        <w:jc w:val="both"/>
      </w:pPr>
      <w:r>
        <w:rPr>
          <w:rFonts w:ascii="Arial Unicode MS" w:hAnsi="Arial Unicode MS" w:eastAsia="Arial Unicode MS"/>
          <w:b w:val="0"/>
          <w:i w:val="0"/>
          <w:color w:val="172033"/>
          <w:sz w:val="22"/>
        </w:rPr>
        <w:t xml:space="preserve">前因变量与中介变量的构造必须互斥，这是 H2 能否成立的前提而非细节。基础情绪易感性 X 与协同推广强度 M 若来自同一批消息并共用重叠成分（例如“极端情绪比例”同时进入 X 与 M 的“pump 语言”项），则 X→M 的路径几乎必然显著，但反映的是文本指标自相关。因此：X 仅由非意见领袖的一般用户文本构造，只使用情绪类成分；M 仅由行为类成分构造（同步性、近重复率、作者 HHI、爆发强度、KOL 同步），不使用情绪极性成分；在作者元数据可用时，二者使用互斥的作者集合。正式结果必须报告 corr(X, M)、X 的滞后自相关，以及以 X 的滞后副本替代 M 的安慰剂中介估计。</w:t>
      </w:r>
    </w:p>
    <w:p>
      <w:pPr>
        <w:spacing w:before="0" w:after="140" w:line="324" w:lineRule="auto"/>
        <w:ind w:firstLine="440"/>
        <w:jc w:val="both"/>
      </w:pPr>
      <w:r>
        <w:rPr>
          <w:rFonts w:ascii="Arial Unicode MS" w:hAnsi="Arial Unicode MS" w:eastAsia="Arial Unicode MS"/>
          <w:b w:val="0"/>
          <w:i w:val="0"/>
          <w:color w:val="172033"/>
          <w:sz w:val="22"/>
        </w:rPr>
        <w:t>主指数不使用泡沫结果构建。替代方法包括理论加权标准化指数、只在训练期拟合的主成分，以及各组成项独立模型。逐项剔除检验判断结果是否依赖单一噪声代理。法律或监管认定与连续代理变量分开编码。</w:t>
      </w:r>
    </w:p>
    <w:p>
      <w:pPr>
        <w:pStyle w:val="Heading2"/>
      </w:pPr>
      <w:r>
        <w:t xml:space="preserve">4.10 巨鲸、链上变量与市场控制</w:t>
      </w:r>
    </w:p>
    <w:p>
      <w:pPr>
        <w:spacing w:before="0" w:after="140" w:line="324" w:lineRule="auto"/>
        <w:ind w:firstLine="440"/>
        <w:jc w:val="both"/>
      </w:pPr>
      <w:r>
        <w:rPr>
          <w:rFonts w:ascii="Arial Unicode MS" w:hAnsi="Arial Unicode MS" w:eastAsia="Arial Unicode MS"/>
          <w:b w:val="0"/>
          <w:i w:val="0"/>
          <w:color w:val="172033"/>
          <w:sz w:val="22"/>
        </w:rPr>
        <w:t xml:space="preserve">巨鲸指标必须同时具有实体和方向。核心变量包括大户实体的交易所流入流出、净流量、超过链内滚动分位数的转账数量和金额、大户余额变化、头部地址或实体集中度，以及活跃大额地址数。</w:t>
      </w:r>
    </w:p>
    <w:p>
      <w:pPr>
        <w:spacing w:before="0" w:after="140" w:line="324" w:lineRule="auto"/>
        <w:ind w:firstLine="440"/>
        <w:jc w:val="both"/>
      </w:pPr>
      <w:r>
        <w:rPr>
          <w:rFonts w:ascii="Arial Unicode MS" w:hAnsi="Arial Unicode MS" w:eastAsia="Arial Unicode MS"/>
          <w:b w:val="0"/>
          <w:i w:val="0"/>
          <w:color w:val="172033"/>
          <w:sz w:val="22"/>
        </w:rPr>
        <w:t xml:space="preserve">“巨鲸”的主定义在此固定，并列入附录 A 的冻结清单：主规则为“持有量位于该币种流通量前 0.1% 的非交易所、非合约实体”，并要求同时满足一个绝对下限（等值 100 万美元，按事件当日汇率）以排除低市值币种中的伪大户；单笔转账的“大额”门槛为该币种过去 90 日转账金额分布的 99 分位数与流通量 0.05% 二者的较大值。固定美元阈值不适合跨币比较，固定分位数则在极端集中的小币中失效，因此两者取交集而非任选其一。稳健性使用前 0.05%、前 0.5% 两个替代定义以及纯分位数定义，主结论必须在三套定义下同时成立。</w:t>
      </w:r>
    </w:p>
    <w:p>
      <w:pPr>
        <w:spacing w:before="0" w:after="140" w:line="324" w:lineRule="auto"/>
        <w:ind w:firstLine="440"/>
        <w:jc w:val="both"/>
      </w:pPr>
      <w:r>
        <w:rPr>
          <w:rFonts w:ascii="Arial Unicode MS" w:hAnsi="Arial Unicode MS" w:eastAsia="Arial Unicode MS"/>
          <w:b w:val="0"/>
          <w:i w:val="0"/>
          <w:color w:val="172033"/>
          <w:sz w:val="22"/>
        </w:rPr>
        <w:t>交易所内部转账、已知托管调整、跨链桥、质押合约、代币迁移、burn、mint 和系统合约地址将被标记或剔除。若地址聚类置信度不足，将分别报告地址级与实体级指标。某条链缺少数据属于缺失和样本选择问题，不能编码为 0。</w:t>
      </w:r>
    </w:p>
    <w:p>
      <w:pPr>
        <w:spacing w:before="0" w:after="140" w:line="324" w:lineRule="auto"/>
        <w:ind w:firstLine="440"/>
        <w:jc w:val="both"/>
      </w:pPr>
      <w:r>
        <w:rPr>
          <w:rFonts w:ascii="Arial Unicode MS" w:hAnsi="Arial Unicode MS" w:eastAsia="Arial Unicode MS"/>
          <w:b w:val="0"/>
          <w:i w:val="0"/>
          <w:color w:val="172033"/>
          <w:sz w:val="22"/>
        </w:rPr>
        <w:t>市场基准包括滞后收益、绝对收益、已实现波动率、成交量冲击、主动买盘占比、流动性、资金费率、近期回撤和当前非泡沫状态。共同市场条件使用预测起点可见的 BTC、ETH 和全市场收益、总市值变化、日期效应及在可用时的宏观变量。Fear &amp; Greed 与价格及社交成分可能重叠，只用于稳健性，不作为默认因果控制。</w:t>
      </w:r>
    </w:p>
    <w:p>
      <w:pPr>
        <w:spacing w:before="0" w:after="140" w:line="324" w:lineRule="auto"/>
        <w:ind w:firstLine="440"/>
        <w:jc w:val="both"/>
      </w:pPr>
      <w:r>
        <w:rPr>
          <w:rFonts w:ascii="Arial Unicode MS" w:hAnsi="Arial Unicode MS" w:eastAsia="Arial Unicode MS"/>
          <w:b w:val="0"/>
          <w:i w:val="0"/>
          <w:color w:val="172033"/>
          <w:sz w:val="22"/>
        </w:rPr>
        <w:t>控制变量的选择依据实时可获得性，而不是是否能削弱某个社会变量系数。任何日度或周度指标都必须按实际发布日期对齐；后来修订的数据保留 vintage。解释模型可以使用当时可观测的时间效应和市场状态，生产预测模型不能使用未来日期固定效应或完整样本估计的平滑值。</w:t>
      </w:r>
    </w:p>
    <w:p>
      <w:pPr>
        <w:spacing w:before="0" w:after="140" w:line="324" w:lineRule="auto"/>
        <w:ind w:firstLine="440"/>
        <w:jc w:val="both"/>
      </w:pPr>
      <w:r>
        <w:rPr>
          <w:rFonts w:ascii="Arial Unicode MS" w:hAnsi="Arial Unicode MS" w:eastAsia="Arial Unicode MS"/>
          <w:b w:val="0"/>
          <w:i w:val="0"/>
          <w:color w:val="172033"/>
          <w:sz w:val="22"/>
        </w:rPr>
        <w:t>异质性在估计前按市值、流动性、上市时间、meme/社群属性、链类型和平台覆盖规定。连续交互优先于任意分组；为便于解释而使用的组别，其切点只在训练期确定。小样本单元报告为探索性或不报告精确系数，避免把偶然的单币结果包装为普遍规律。</w:t>
      </w:r>
    </w:p>
    <w:p>
      <w:pPr>
        <w:pStyle w:val="Heading2"/>
      </w:pPr>
      <w:r>
        <w:t xml:space="preserve">4.11 构念验证与测量误差</w:t>
      </w:r>
    </w:p>
    <w:p>
      <w:pPr>
        <w:spacing w:before="0" w:after="140" w:line="324" w:lineRule="auto"/>
        <w:ind w:firstLine="440"/>
        <w:jc w:val="both"/>
      </w:pPr>
      <w:r>
        <w:rPr>
          <w:rFonts w:ascii="Arial Unicode MS" w:hAnsi="Arial Unicode MS" w:eastAsia="Arial Unicode MS"/>
          <w:b w:val="0"/>
          <w:i w:val="0"/>
          <w:color w:val="172033"/>
          <w:sz w:val="22"/>
        </w:rPr>
        <w:t>每个行为构念都有独立验证任务。情绪与人工编码的加密文本比较；扩散指标与可观察的回复、转发和级联结构核对；协同推广在已知协调事件和匹配正常公告中测试区分度；巨鲸变量通过实体标签、交易轨迹和替代供应商分类审计；泡沫进入则比较价格来源、临界值和持续期设定。</w:t>
      </w:r>
    </w:p>
    <w:p>
      <w:pPr>
        <w:spacing w:before="0" w:after="140" w:line="324" w:lineRule="auto"/>
        <w:ind w:firstLine="440"/>
        <w:jc w:val="both"/>
      </w:pPr>
      <w:r>
        <w:rPr>
          <w:rFonts w:ascii="Arial Unicode MS" w:hAnsi="Arial Unicode MS" w:eastAsia="Arial Unicode MS"/>
          <w:b w:val="0"/>
          <w:i w:val="0"/>
          <w:color w:val="172033"/>
          <w:sz w:val="22"/>
        </w:rPr>
        <w:t>测量误差可能削弱或扭曲估计，而且会随市场状态变化。平台中断、作者缺失、标签置信度和币种覆盖均作为伴随字段进入数据质量报告。一个潜在指数即使统计显著，也不能因此自动升级为有效构念；组成项表现、误报率和人工验证仍属于证据标准。</w:t>
      </w:r>
    </w:p>
    <w:p>
      <w:pPr>
        <w:keepNext/>
        <w:spacing w:before="40" w:after="40"/>
        <w:jc w:val="left"/>
      </w:pPr>
      <w:r>
        <w:rPr>
          <w:rFonts w:ascii="Arial Unicode MS" w:hAnsi="Arial Unicode MS" w:eastAsia="Arial Unicode MS"/>
          <w:b/>
          <w:i w:val="0"/>
          <w:color w:val="172033"/>
          <w:sz w:val="16"/>
        </w:rPr>
        <w:t xml:space="preserve">表 5. 核心变量与信息泄漏控制</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903"/>
        <w:gridCol w:w="2166"/>
        <w:gridCol w:w="2166"/>
        <w:gridCol w:w="1986"/>
        <w:gridCol w:w="1805"/>
      </w:tblGrid>
      <w:tr>
        <w:trPr>
          <w:tblHeader w:val="true"/>
          <w:cantSplit/>
        </w:trPr>
        <w:tc>
          <w:tcPr>
            <w:tcW w:type="dxa" w:w="903"/>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构念</w:t>
            </w:r>
          </w:p>
        </w:tc>
        <w:tc>
          <w:tcPr>
            <w:tcW w:type="dxa" w:w="216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主要变量</w:t>
            </w:r>
          </w:p>
        </w:tc>
        <w:tc>
          <w:tcPr>
            <w:tcW w:type="dxa" w:w="216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粒度</w:t>
            </w:r>
          </w:p>
        </w:tc>
        <w:tc>
          <w:tcPr>
            <w:tcW w:type="dxa" w:w="198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时间规则</w:t>
            </w:r>
          </w:p>
        </w:tc>
        <w:tc>
          <w:tcPr>
            <w:tcW w:type="dxa" w:w="1805"/>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验证要求</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未来泡沫进入</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当前非泡沫且未来 h 内进入</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币种-小时/日</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结果只使用 t+1 至 t+h</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替代 BSADF 阈值、持续期、价格和 bootstrap</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传播</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帖子、用户、互动、级联速度、跨平台扩散</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币种-小时-平台</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滚动特征截至 t</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平台覆盖、去重、作者可用性和事件安慰剂</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基础情绪易感性</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极化、极端比例、FOMO/FUD、意见分歧</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币种-小时-平台</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位于中介前，如 t-2 窗口</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人工编码的加密文本及平台级性能</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协同推广</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重复、同步、HHI、爆发、pump 语言、异常互动</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币种-小时-平台</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严格位于基础情绪后、结果前</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已知事件区分度和非事件误报率</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巨鲸积累/派发</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实体识别流量、余额与集中度</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币种-小时/日-链</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在预测起点前可获得</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地址标签置信度和内部转账剔除</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市场控制</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收益、波动、成交、流动性、主动买盘、BTC/ETH 状态</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币种-小时/日</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滞后或 t 时已可见</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日度指标不得在实际发布日期前向前填充</w:t>
            </w:r>
          </w:p>
        </w:tc>
      </w:tr>
    </w:tbl>
    <w:p>
      <w:pPr>
        <w:spacing w:after="20"/>
      </w:pPr>
    </w:p>
    <w:p>
      <w:pPr>
        <w:pStyle w:val="Heading1"/>
      </w:pPr>
      <w:r>
        <w:t>五、实证方法、识别与稳健性</w:t>
      </w:r>
    </w:p>
    <w:p>
      <w:pPr>
        <w:pStyle w:val="Heading2"/>
      </w:pPr>
      <w:r>
        <w:t xml:space="preserve">5.1 泡沫标签的形式化定义与实时判定</w:t>
      </w:r>
    </w:p>
    <w:p>
      <w:pPr>
        <w:spacing w:before="0" w:after="140" w:line="324" w:lineRule="auto"/>
        <w:ind w:firstLine="440"/>
        <w:jc w:val="both"/>
      </w:pPr>
      <w:r>
        <w:rPr>
          <w:rFonts w:ascii="Arial Unicode MS" w:hAnsi="Arial Unicode MS" w:eastAsia="Arial Unicode MS"/>
          <w:b w:val="0"/>
          <w:i w:val="0"/>
          <w:color w:val="172033"/>
          <w:sz w:val="22"/>
        </w:rPr>
        <w:t xml:space="preserve">第四章固定了泡沫标签的参数，本节给出其形式化定义，使标签规则可以被独立复核，也使“标签本身是价格路径的函数”这一事实在 5.2 节的基准设定中被正面处理。</w:t>
      </w:r>
    </w:p>
    <w:p>
      <w:pPr>
        <w:spacing w:before="0" w:after="140" w:line="324" w:lineRule="auto"/>
        <w:ind w:firstLine="440"/>
        <w:jc w:val="both"/>
      </w:pPr>
      <w:r>
        <w:rPr>
          <w:rFonts w:ascii="Arial Unicode MS" w:hAnsi="Arial Unicode MS" w:eastAsia="Arial Unicode MS"/>
          <w:b w:val="0"/>
          <w:i w:val="0"/>
          <w:color w:val="172033"/>
          <w:sz w:val="22"/>
        </w:rPr>
        <w:t xml:space="preserve">设 p(i,t) 为币种 i 的对数价格，样本区间标准化到 [0, 1]，对起点 r1、终点 r2 的子样本运行公式（1）的右尾 ADF 回归，得到统计量 ADF(i; r1, r2)。</w:t>
      </w:r>
    </w:p>
    <w:p>
      <w:pPr>
        <w:spacing w:before="0" w:after="140" w:line="324" w:lineRule="auto"/>
        <w:ind w:firstLine="440"/>
        <w:jc w:val="both"/>
      </w:pPr>
      <w:r>
        <w:rPr>
          <w:rFonts w:ascii="Arial Unicode MS" w:hAnsi="Arial Unicode MS" w:eastAsia="Arial Unicode MS"/>
          <w:b w:val="0"/>
          <w:i w:val="0"/>
          <w:color w:val="172033"/>
          <w:sz w:val="22"/>
        </w:rPr>
        <w:t xml:space="preserve">公式（2）: BSADF(i, r2; r0) = sup{ ADF(i; r1, r2) : r1 属于 [0, r2 - r0] }；GSADF(i; r0) = sup{ BSADF(i, r2; r0) : r2 属于 [r0, 1] }</w:t>
      </w:r>
    </w:p>
    <w:p>
      <w:pPr>
        <w:spacing w:before="0" w:after="140" w:line="324" w:lineRule="auto"/>
        <w:ind w:firstLine="440"/>
        <w:jc w:val="both"/>
      </w:pPr>
      <w:r>
        <w:rPr>
          <w:rFonts w:ascii="Arial Unicode MS" w:hAnsi="Arial Unicode MS" w:eastAsia="Arial Unicode MS"/>
          <w:b w:val="0"/>
          <w:i w:val="0"/>
          <w:color w:val="172033"/>
          <w:sz w:val="22"/>
        </w:rPr>
        <w:t xml:space="preserve">其中 r0 为最小窗口长度。GSADF 用于判断币种 i 在样本期内是否至少存在一次爆炸过程，BSADF 序列用于日期标定。</w:t>
      </w:r>
    </w:p>
    <w:p>
      <w:pPr>
        <w:spacing w:before="0" w:after="140" w:line="324" w:lineRule="auto"/>
        <w:ind w:firstLine="440"/>
        <w:jc w:val="both"/>
      </w:pPr>
      <w:r>
        <w:rPr>
          <w:rFonts w:ascii="Arial Unicode MS" w:hAnsi="Arial Unicode MS" w:eastAsia="Arial Unicode MS"/>
          <w:b w:val="0"/>
          <w:i w:val="0"/>
          <w:color w:val="172033"/>
          <w:sz w:val="22"/>
        </w:rPr>
        <w:t xml:space="preserve">公式（3）: 进入时点 re(i) = inf{ r2 &gt;= r0 : BSADF(i, r2; r0) &gt; cv(r2; beta) }；退出时点 rf(i) = inf{ r2 &gt; re(i) + delta : BSADF(i, r2; r0) &lt; cv(r2; beta) }；泡沫强度 B(i, r2) = BSADF(i, r2; r0) - cv(r2; beta)</w:t>
      </w:r>
    </w:p>
    <w:p>
      <w:pPr>
        <w:spacing w:before="0" w:after="140" w:line="324" w:lineRule="auto"/>
        <w:ind w:firstLine="440"/>
        <w:jc w:val="both"/>
      </w:pPr>
      <w:r>
        <w:rPr>
          <w:rFonts w:ascii="Arial Unicode MS" w:hAnsi="Arial Unicode MS" w:eastAsia="Arial Unicode MS"/>
          <w:b w:val="0"/>
          <w:i w:val="0"/>
          <w:color w:val="172033"/>
          <w:sz w:val="22"/>
        </w:rPr>
        <w:t xml:space="preserve">其中 cv(r2; beta) 为 beta 显著性水平下随样本递归变化的临界值序列，delta 为最短持续期。有三点必须强调。第一，cv(r2; beta) 只使用 r2 之前的信息，因此进入时点的判定是实时的，不依赖价格后来是否崩盘（Phillips et al., 2015b），这正是该标签适合提前预警研究的原因。第二，本文的结果变量不是状态本身，而是“当前不处于泡沫、且未来 h 期内出现新的 re”这一事件，因此风险集必须在每个预测起点重新构造，且未来窗口与既有泡沫重叠的观测须从风险集排除。第三，泡沫强度 B(i, r2) 是一个只使用当期可得价格信息的连续量，它既是标签的来源，也必须是预测基准模型的自变量——这一双重身份是下一节基准设定的核心，也是现稿最需要修补的地方。</w:t>
      </w:r>
    </w:p>
    <w:p>
      <w:pPr>
        <w:jc w:val="center"/>
      </w:pPr>
      <w:r>
        <w:drawing>
          <wp:inline xmlns:a="http://schemas.openxmlformats.org/drawingml/2006/main" xmlns:pic="http://schemas.openxmlformats.org/drawingml/2006/picture">
            <wp:extent cx="5616000" cy="2973176"/>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616000" cy="2973176"/>
                    </a:xfrm>
                    <a:prstGeom prst="rect"/>
                  </pic:spPr>
                </pic:pic>
              </a:graphicData>
            </a:graphic>
          </wp:inline>
        </w:drawing>
      </w:r>
    </w:p>
    <w:p>
      <w:pPr>
        <w:spacing w:before="0" w:after="140" w:line="324" w:lineRule="auto"/>
        <w:ind w:firstLine="0"/>
        <w:jc w:val="both"/>
      </w:pPr>
      <w:r>
        <w:rPr>
          <w:rFonts w:ascii="Arial Unicode MS" w:hAnsi="Arial Unicode MS" w:eastAsia="Arial Unicode MS"/>
          <w:b w:val="0"/>
          <w:i w:val="0"/>
          <w:color w:val="172033"/>
          <w:sz w:val="22"/>
        </w:rPr>
        <w:t xml:space="preserve">图 3. 三个假设的主估计量、关键识别条件与允许的表述。否定条件见表 2，必须完成的稳健性检验见表 7，打开时间外评价期前需冻结的决策见附录 A。</w:t>
      </w:r>
    </w:p>
    <w:p>
      <w:pPr>
        <w:pStyle w:val="Heading2"/>
      </w:pPr>
      <w:r>
        <w:t xml:space="preserve">5.2 H1：离散时间进入风险与增量预测</w:t>
      </w:r>
    </w:p>
    <w:p>
      <w:pPr>
        <w:spacing w:before="0" w:after="140" w:line="324" w:lineRule="auto"/>
        <w:ind w:firstLine="440"/>
        <w:jc w:val="both"/>
      </w:pPr>
      <w:r>
        <w:rPr>
          <w:rFonts w:ascii="Arial Unicode MS" w:hAnsi="Arial Unicode MS" w:eastAsia="Arial Unicode MS"/>
          <w:b w:val="0"/>
          <w:i w:val="0"/>
          <w:color w:val="172033"/>
          <w:sz w:val="22"/>
        </w:rPr>
        <w:t>H1 的解释性模型在当前非泡沫观测中估计未来进入的离散时间 hazard。币种固定效应控制稳定资产特征；时间效应或可观测市场变量控制共同冲击。标准误按币种和时间双向聚类；有效 cluster 较少时使用 wild cluster 方法。</w:t>
      </w:r>
    </w:p>
    <w:p>
      <w:pPr>
        <w:spacing w:before="40" w:after="80"/>
        <w:jc w:val="center"/>
      </w:pPr>
      <w:r>
        <w:rPr>
          <w:rFonts w:ascii="Arial Unicode MS" w:hAnsi="Arial Unicode MS" w:eastAsia="Arial Unicode MS"/>
          <w:b w:val="0"/>
          <w:i/>
          <w:color w:val="17365D"/>
          <w:sz w:val="17"/>
        </w:rPr>
        <w:t xml:space="preserve">公式（4）: Pr(Y(i,t,h)=1 | F(t)) = 1 - exp(-exp[ alpha(i) + calendar(t) + beta D(i,t-k1) + gamma S(i,t-k2) + delta B(i,t) + theta' X(i,t) ])</w:t>
      </w:r>
    </w:p>
    <w:p>
      <w:pPr>
        <w:spacing w:before="0" w:after="140" w:line="324" w:lineRule="auto"/>
        <w:ind w:firstLine="440"/>
        <w:jc w:val="both"/>
      </w:pPr>
      <w:r>
        <w:rPr>
          <w:rFonts w:ascii="Arial Unicode MS" w:hAnsi="Arial Unicode MS" w:eastAsia="Arial Unicode MS"/>
          <w:b w:val="0"/>
          <w:i w:val="0"/>
          <w:color w:val="172033"/>
          <w:sz w:val="22"/>
        </w:rPr>
        <w:t xml:space="preserve">优先使用 complementary log-log 链接，panel logit 和线性概率模型作为稳健性。公式（4）中 B(i,t) 即公式（3）定义的泡沫强度，D 与 S 分别为传播与情绪模块并允许不同滞后阶数 k1、k2。传播和情绪变量按模块依次加入。由于真实预测时无法获知未来日期固定效应，解释性固定效应模型与生产预测模型分开报告。</w:t>
      </w:r>
    </w:p>
    <w:p>
      <w:pPr>
        <w:spacing w:before="0" w:after="140" w:line="324" w:lineRule="auto"/>
        <w:ind w:firstLine="440"/>
        <w:jc w:val="both"/>
      </w:pPr>
      <w:r>
        <w:rPr>
          <w:rFonts w:ascii="Arial Unicode MS" w:hAnsi="Arial Unicode MS" w:eastAsia="Arial Unicode MS"/>
          <w:b w:val="0"/>
          <w:i w:val="0"/>
          <w:color w:val="172033"/>
          <w:sz w:val="22"/>
        </w:rPr>
        <w:t xml:space="preserve">此处必须纠正现稿的一个实质性缺陷。若基准模型是少量市场变量的线性或 cloglog 设定，而完整模型额外加入数十个社交特征，两者的函数灵活度并不对等。泡沫进入本身是价格路径的高度非线性函数，社交扩散又是过去收益的强函数，因此“加入社交后 AUC 上升”完全可能只反映非线性拟合能力上升，与社交信息无关。正式研究强制两项对齐：第一，基准模型与完整模型必须属于同一模型类、同一正则化方案、同一超参搜索空间，仅在特征集上不同；第二，基准模型必须包含当前泡沫强度 B(i,t) 及其近期变化率。pilot 中市场基准样本内 AUC 高达 0.823，最合理的解释就是“BSADF 已接近阈值”这一条信息，把它排除在基准之外，等于把它记到社交变量账上。</w:t>
      </w:r>
    </w:p>
    <w:p>
      <w:pPr>
        <w:spacing w:before="0" w:after="140" w:line="324" w:lineRule="auto"/>
        <w:ind w:firstLine="440"/>
        <w:jc w:val="both"/>
      </w:pPr>
      <w:r>
        <w:rPr>
          <w:rFonts w:ascii="Arial Unicode MS" w:hAnsi="Arial Unicode MS" w:eastAsia="Arial Unicode MS"/>
          <w:b w:val="0"/>
          <w:i w:val="0"/>
          <w:color w:val="172033"/>
          <w:sz w:val="22"/>
        </w:rPr>
        <w:t xml:space="preserve">预测模型类别与超参选择协议在此明确，现稿未作说明——这也是 pilot 报告 0.856 却无法说明该数字由什么模型产生的原因。主预测模型为带弹性网正则的离散时间 hazard（cloglog 链接），备选为梯度提升树；两者分别在市场基准特征集与完整特征集上估计，形成 2×2 比较矩阵，任何“增量”只能在同一模型类内部读取。超参（正则化强度、树深度、学习率、早停轮数）只在扩展窗口的训练-验证折内以 PR-AUC 选择，选择过程完全位于验证期之内；进入时间外评价期后，超参与特征集一并冻结。类别不平衡以 Firth 惩罚或类权重处理，不使用会破坏概率校准的重抽样方法（如 SMOTE），因为本文把校准列为主要指标而非附属指标。</w:t>
      </w:r>
    </w:p>
    <w:p>
      <w:pPr>
        <w:spacing w:before="0" w:after="140" w:line="324" w:lineRule="auto"/>
        <w:ind w:firstLine="440"/>
        <w:jc w:val="both"/>
      </w:pPr>
      <w:r>
        <w:rPr>
          <w:rFonts w:ascii="Arial Unicode MS" w:hAnsi="Arial Unicode MS" w:eastAsia="Arial Unicode MS"/>
          <w:b w:val="0"/>
          <w:i w:val="0"/>
          <w:color w:val="172033"/>
          <w:sz w:val="22"/>
        </w:rPr>
        <w:t xml:space="preserve">预测采用扩展窗口评价。训练损失为对数损失；模型选择指标与报告指标分开列示。PR-AUC 为主指标，ROC-AUC 仅作辅助，因为泡沫进入在正式面板中属于稀有事件（Saito and Rehmsmeier, 2015）；Brier score 及其分解、校准截距与斜率、可靠性曲线用于评价概率质量；固定误报率（1% 与 5%）下的召回与预警提前期中位数用于评价操作价值。改进幅度一律以事件分块 bootstrap 报告区间，并与四个基准依次比较：常数正例率、单独的泡沫强度 B(i,t)、近期动量与成交量冲击、以及完整市场基准。若社交模块相对第二个基准没有稳定改进，H1 不得到支持。解释和预测的区分遵循 Shmueli（2010）。</w:t>
      </w:r>
    </w:p>
    <w:p>
      <w:pPr>
        <w:pStyle w:val="Heading2"/>
      </w:pPr>
      <w:r>
        <w:t xml:space="preserve">5.3 H2：严格错位的中介与自然间接效应</w:t>
      </w:r>
    </w:p>
    <w:p>
      <w:pPr>
        <w:spacing w:before="0" w:after="140" w:line="324" w:lineRule="auto"/>
        <w:ind w:firstLine="440"/>
        <w:jc w:val="both"/>
      </w:pPr>
      <w:r>
        <w:rPr>
          <w:rFonts w:ascii="Arial Unicode MS" w:hAnsi="Arial Unicode MS" w:eastAsia="Arial Unicode MS"/>
          <w:b w:val="0"/>
          <w:i w:val="0"/>
          <w:color w:val="172033"/>
          <w:sz w:val="22"/>
        </w:rPr>
        <w:t xml:space="preserve">按照委员会建议，本文保留三步中介回归作为直观起点，但不把“总效应和每一步都显著”作为判定标准，也不把系数乘积作为主估计量。核心估计量改为概率尺度上的自然间接效应（NIE）与自然直接效应（NDE）。理由是：在 logit 或 cloglog 下，加入中介前后的系数位于不同尺度，a1 × b 不对应任何良定义尺度上的效应；KHB 可以修正尺度问题，但它修正的是系数，而委员会与实务读者关心的是“若基础情绪易感性由 s0 升到 s1，经由协同推广会多出多少个百分点的泡沫进入概率”。</w:t>
      </w:r>
    </w:p>
    <w:p>
      <w:pPr>
        <w:spacing w:before="40" w:after="80"/>
        <w:jc w:val="center"/>
      </w:pPr>
      <w:r>
        <w:rPr>
          <w:rFonts w:ascii="Arial Unicode MS" w:hAnsi="Arial Unicode MS" w:eastAsia="Arial Unicode MS"/>
          <w:b w:val="0"/>
          <w:i/>
          <w:color w:val="17365D"/>
          <w:sz w:val="17"/>
        </w:rPr>
        <w:t xml:space="preserve">公式（5a）: M(i,t-1) = a0 + a1 S(i,t-2) + a2' X(i,t-2) + coin FE + time controls + u(i,t)</w:t>
      </w:r>
    </w:p>
    <w:p>
      <w:pPr>
        <w:spacing w:before="40" w:after="80"/>
        <w:jc w:val="center"/>
      </w:pPr>
      <w:r>
        <w:rPr>
          <w:rFonts w:ascii="Arial Unicode MS" w:hAnsi="Arial Unicode MS" w:eastAsia="Arial Unicode MS"/>
          <w:b w:val="0"/>
          <w:i/>
          <w:color w:val="17365D"/>
          <w:sz w:val="17"/>
        </w:rPr>
        <w:t xml:space="preserve">公式（5b）: Pr(Y(i,t,h)=1) = Link^-1[c S(i,t-2) + controls]</w:t>
      </w:r>
    </w:p>
    <w:p>
      <w:pPr>
        <w:spacing w:before="40" w:after="80"/>
        <w:jc w:val="center"/>
      </w:pPr>
      <w:r>
        <w:rPr>
          <w:rFonts w:ascii="Arial Unicode MS" w:hAnsi="Arial Unicode MS" w:eastAsia="Arial Unicode MS"/>
          <w:b w:val="0"/>
          <w:i/>
          <w:color w:val="17365D"/>
          <w:sz w:val="17"/>
        </w:rPr>
        <w:t xml:space="preserve">公式（5c）: Pr(Y(i,t,h)=1) = Link^-1[c' S(i,t-2) + b M(i,t-1) + controls]</w:t>
      </w:r>
    </w:p>
    <w:p>
      <w:pPr>
        <w:spacing w:before="0" w:after="140" w:line="324" w:lineRule="auto"/>
        <w:ind w:firstLine="440"/>
        <w:jc w:val="both"/>
      </w:pPr>
      <w:r>
        <w:rPr>
          <w:rFonts w:ascii="Arial Unicode MS" w:hAnsi="Arial Unicode MS" w:eastAsia="Arial Unicode MS"/>
          <w:b w:val="0"/>
          <w:i w:val="0"/>
          <w:color w:val="172033"/>
          <w:sz w:val="22"/>
        </w:rPr>
        <w:t>描述性间接效应为 a1 x b。正式区间通过按独立泡沫事件或币种-时间块重抽样，而不是按单行 IID bootstrap。由于嵌套非线性概率模型存在尺度变化，加入变量前后系数不能直接比较，因此使用 KHB 分解作为稳健性（Karlson et al., 2012）。反事实中介和未观测中介-结果混杂敏感性分析参考 Imai et al.（2010）。串联扩展检验“基础情绪 -&gt; 协同推广 -&gt; 扩散/事件期极化 -&gt; 进入”，但它次于预设的单中介模型。</w:t>
      </w:r>
    </w:p>
    <w:p>
      <w:pPr>
        <w:spacing w:before="0" w:after="140" w:line="324" w:lineRule="auto"/>
        <w:ind w:firstLine="440"/>
        <w:jc w:val="both"/>
      </w:pPr>
      <w:r>
        <w:rPr>
          <w:rFonts w:ascii="Arial Unicode MS" w:hAnsi="Arial Unicode MS" w:eastAsia="Arial Unicode MS"/>
          <w:b w:val="0"/>
          <w:i w:val="0"/>
          <w:color w:val="172033"/>
          <w:sz w:val="22"/>
        </w:rPr>
        <w:t xml:space="preserve">公式（6）: NIE = (1/N) * sum over (i,t) of { E[Y(i,t,h) | S=s1, M ~ F(M | S=s1, C)] - E[Y(i,t,h) | S=s1, M ~ F(M | S=s0, C)] }；NDE = (1/N) * sum over (i,t) of { E[Y(i,t,h) | S=s1, M ~ F(M | S=s0, C)] - E[Y(i,t,h) | S=s0, M ~ F(M | S=s0, C)] }</w:t>
      </w:r>
    </w:p>
    <w:p>
      <w:pPr>
        <w:spacing w:before="0" w:after="140" w:line="324" w:lineRule="auto"/>
        <w:ind w:firstLine="440"/>
        <w:jc w:val="both"/>
      </w:pPr>
      <w:r>
        <w:rPr>
          <w:rFonts w:ascii="Arial Unicode MS" w:hAnsi="Arial Unicode MS" w:eastAsia="Arial Unicode MS"/>
          <w:b w:val="0"/>
          <w:i w:val="0"/>
          <w:color w:val="172033"/>
          <w:sz w:val="22"/>
        </w:rPr>
        <w:t xml:space="preserve">其中 F(M | S, C) 为公式（5a）给出的中介分布，E[Y | S, M, C] 为公式（5c）给出的结果模型，s0 与 s1 取基础情绪易感性在训练期分布的第 25 与第 75 百分位。NIE 与 NDE 通过 g-computation 估计并报告为概率差（百分点），区间由以独立泡沫事件为单位的分块 bootstrap 给出。三步回归、系数乘积与 KHB 分解全部保留，但降级为直观诊断和稳健性，不进入主结论。</w:t>
      </w:r>
    </w:p>
    <w:p>
      <w:pPr>
        <w:spacing w:before="0" w:after="140" w:line="324" w:lineRule="auto"/>
        <w:ind w:firstLine="440"/>
        <w:jc w:val="both"/>
      </w:pPr>
      <w:r>
        <w:rPr>
          <w:rFonts w:ascii="Arial Unicode MS" w:hAnsi="Arial Unicode MS" w:eastAsia="Arial Unicode MS"/>
          <w:b w:val="0"/>
          <w:i w:val="0"/>
          <w:color w:val="172033"/>
          <w:sz w:val="22"/>
        </w:rPr>
        <w:t xml:space="preserve">把 NIE 解释为因果中介需要序贯可忽略性：给定控制变量 C，(i) 基础情绪与结果之间不存在未观测混杂，(ii) 中介与结果之间不存在未观测混杂，(iii) 中介与结果之间的混杂不受基础情绪影响；另需正确的时间顺序与不存在处理后控制（Imai et al., 2010）。观测性加密数据无法保证第 (ii) 与 (iii) 条——共同新闻、平台外协调和项目方自身行动会同时推动情绪与推广。因此本文默认以“中介关联”表述，并预先指定敏感性判据：报告使间接效应符号翻转所需的混杂强度参数 rho，以及 NIE 的 E-value。只有当所需混杂强度超过样本中最强的已观测控制变量时，才在讨论中提及因果解释的可能性。</w:t>
      </w:r>
    </w:p>
    <w:p>
      <w:pPr>
        <w:spacing w:before="0" w:after="140" w:line="324" w:lineRule="auto"/>
        <w:ind w:firstLine="440"/>
        <w:jc w:val="both"/>
      </w:pPr>
      <w:r>
        <w:rPr>
          <w:rFonts w:ascii="Arial Unicode MS" w:hAnsi="Arial Unicode MS" w:eastAsia="Arial Unicode MS"/>
          <w:b w:val="0"/>
          <w:i w:val="0"/>
          <w:color w:val="172033"/>
          <w:sz w:val="22"/>
        </w:rPr>
        <w:t xml:space="preserve">必须进行四类反向和安慰剂检验。第一，未来协同推广变量不能预测过去情绪。第二，估计“协同推广先于基础情绪”的竞争路径；若反向关系更强、更稳定，应修正理论而不能选择性报告。第三，随机平移事件时间并使用非目标币提及，检验全市场热度是否造成虚假中介。第四，把中介 M 替换为前因 X 的滞后副本重新估计 NIE：若该安慰剂同样产生显著“间接效应”，说明观测到的路径来自文本指标的自相关而非机制，H2 结果作废。第四项检验与 4.9 节要求的 X、M 构造成分互斥互为补充，二者必须同时报告。</w:t>
      </w:r>
    </w:p>
    <w:p>
      <w:pPr>
        <w:pStyle w:val="Heading2"/>
      </w:pPr>
      <w:r>
        <w:t xml:space="preserve">5.4 H3：巨鲸阶段效应与时间顺序</w:t>
      </w:r>
    </w:p>
    <w:p>
      <w:pPr>
        <w:spacing w:before="0" w:after="140" w:line="324" w:lineRule="auto"/>
        <w:ind w:firstLine="440"/>
        <w:jc w:val="both"/>
      </w:pPr>
      <w:r>
        <w:rPr>
          <w:rFonts w:ascii="Arial Unicode MS" w:hAnsi="Arial Unicode MS" w:eastAsia="Arial Unicode MS"/>
          <w:b w:val="0"/>
          <w:i w:val="0"/>
          <w:color w:val="172033"/>
          <w:sz w:val="22"/>
        </w:rPr>
        <w:t>H3 首先围绕泡沫进入、峰值、退出及匹配非事件日绘制事件时间图，全部变量使用事件前信息标准化。局部投影估计方向性巨鲸或协同冲击对扩散、情绪、交易、BSADF 强度和未来回撤的动态反应。Panel VAR 和 Granger-style 检验作为补充预测顺序，不表述为因果。</w:t>
      </w:r>
    </w:p>
    <w:p>
      <w:pPr>
        <w:spacing w:before="0" w:after="140" w:line="324" w:lineRule="auto"/>
        <w:ind w:firstLine="440"/>
        <w:jc w:val="both"/>
      </w:pPr>
      <w:r>
        <w:rPr>
          <w:rFonts w:ascii="Arial Unicode MS" w:hAnsi="Arial Unicode MS" w:eastAsia="Arial Unicode MS"/>
          <w:b w:val="0"/>
          <w:i w:val="0"/>
          <w:color w:val="172033"/>
          <w:sz w:val="22"/>
        </w:rPr>
        <w:t xml:space="preserve">每个事件的“首次异常时间”依据训练期冻结的阈值定义，例如超过滚动 95 分位或稳健 MAD 边界。现稿把 H3c 操作化为“五元完整排列的匹配率高于随机”，这在方法上不可行：五个元素对应 120 种排列，在几十个可用事件下几乎不可能拒绝均匀零分布，等于预先把 H3c 设计成不可检验。</w:t>
      </w:r>
    </w:p>
    <w:p>
      <w:pPr>
        <w:spacing w:before="0" w:after="140" w:line="324" w:lineRule="auto"/>
        <w:ind w:firstLine="440"/>
        <w:jc w:val="both"/>
      </w:pPr>
      <w:r>
        <w:rPr>
          <w:rFonts w:ascii="Arial Unicode MS" w:hAnsi="Arial Unicode MS" w:eastAsia="Arial Unicode MS"/>
          <w:b w:val="0"/>
          <w:i w:val="0"/>
          <w:color w:val="172033"/>
          <w:sz w:val="22"/>
        </w:rPr>
        <w:t xml:space="preserve">正式研究改用两个功效高得多的统计量。其一是一组预先指定的两两先后检验：对每一对信号（如巨鲸积累与社交扩散、社交扩散与事件期情绪极化），以事件为单位计算“前者首次异常早于后者”的比例，检验其是否显著偏离 0.5，并在该假设家族内作 FDR 控制。其二是把每个事件的观测首次异常时间序列与预设顺序计算 Kendall τ 秩相关，以事件层面 τ 的均值作为单一汇总统计量。前者定位是哪一段顺序成立，后者给出整体一致性的单一检验。</w:t>
      </w:r>
    </w:p>
    <w:p>
      <w:pPr>
        <w:spacing w:before="0" w:after="140" w:line="324" w:lineRule="auto"/>
        <w:ind w:firstLine="440"/>
        <w:jc w:val="both"/>
      </w:pPr>
      <w:r>
        <w:rPr>
          <w:rFonts w:ascii="Arial Unicode MS" w:hAnsi="Arial Unicode MS" w:eastAsia="Arial Unicode MS"/>
          <w:b w:val="0"/>
          <w:i w:val="0"/>
          <w:color w:val="172033"/>
          <w:sz w:val="22"/>
        </w:rPr>
        <w:t xml:space="preserve">两个统计量的零分布均由块状置换构造：在币种与市场状态内部平移事件时间并保留序列相关，同时以非目标币构造对照。所有重抽样以事件而非行为单位。结果必须附带逐事件剔除与分市场周期报告，以证明结论不是由单一币种或单一市场周期驱动；若可用事件少于功效模拟给出的下限，H3c 按 4.6 节规则降级为探索性分析。</w:t>
      </w:r>
    </w:p>
    <w:p>
      <w:pPr>
        <w:spacing w:before="0" w:after="140" w:line="324" w:lineRule="auto"/>
        <w:ind w:firstLine="440"/>
        <w:jc w:val="both"/>
      </w:pPr>
      <w:r>
        <w:rPr>
          <w:rFonts w:ascii="Arial Unicode MS" w:hAnsi="Arial Unicode MS" w:eastAsia="Arial Unicode MS"/>
          <w:b w:val="0"/>
          <w:i w:val="0"/>
          <w:color w:val="172033"/>
          <w:sz w:val="22"/>
        </w:rPr>
        <w:t>阶段模型区分进入前积累、峰值附近派发和进入后跟随。交易所流出不能自动视为积累，必须同时出现实体识别的大户余额增加或相关证据。峰值附近交易所流入只能解释为潜在供给压力；除非交易数据支持，不能称为已经卖出。</w:t>
      </w:r>
    </w:p>
    <w:p>
      <w:pPr>
        <w:keepNext/>
        <w:spacing w:before="40" w:after="40"/>
        <w:jc w:val="left"/>
      </w:pPr>
      <w:r>
        <w:rPr>
          <w:rFonts w:ascii="Arial Unicode MS" w:hAnsi="Arial Unicode MS" w:eastAsia="Arial Unicode MS"/>
          <w:b/>
          <w:i w:val="0"/>
          <w:color w:val="172033"/>
          <w:sz w:val="16"/>
        </w:rPr>
        <w:t xml:space="preserve">表 6. 模型次序及不同推断作用</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2527"/>
        <w:gridCol w:w="2888"/>
        <w:gridCol w:w="2257"/>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阶段</w:t>
            </w:r>
          </w:p>
        </w:tc>
        <w:tc>
          <w:tcPr>
            <w:tcW w:type="dxa" w:w="252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模型或诊断</w:t>
            </w:r>
          </w:p>
        </w:tc>
        <w:tc>
          <w:tcPr>
            <w:tcW w:type="dxa" w:w="2888"/>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主要估计量</w:t>
            </w:r>
          </w:p>
        </w:tc>
        <w:tc>
          <w:tcPr>
            <w:tcW w:type="dxa" w:w="225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允许的解释</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泡沫标记</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GSADF/BSADF 与递归临界值</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进入、退出、状态、强度</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统计爆炸状态，不等于已知基本价值偏离</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H1 解释</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带固定效应的 panel hazard/logit</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滞后社交变量的条件关联（含泡沫强度 B(i,t) 作为基准变量）</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关联与时间先后</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H1 预测</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同模型类、同超参空间的扩展窗口预测比较</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时间外 PR-AUC / 校准 / 固定误报率召回 / 提前期的增量</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预测效用，不等于因果</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H2 中介</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错位中介与结果模型、g-computation、分块 bootstrap、KHB</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概率尺度的自然间接效应 NIE 与自然直接效应 NDE</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中介关联；只有满足假设才作因果表述</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H3 动态</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事件研究、局部投影、VAR/Granger</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阶段反应与领先滞后</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动态和时间证据</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H3 序列</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两两先后检验与事件层面 Kendall τ 的置换检验</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偏离 0.5 的先后概率；高于块状置换零分布的平均 τ</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重复顺序，不等于法律操纵证明</w:t>
            </w:r>
          </w:p>
        </w:tc>
      </w:tr>
    </w:tbl>
    <w:p>
      <w:pPr>
        <w:spacing w:after="20"/>
      </w:pPr>
    </w:p>
    <w:p>
      <w:pPr>
        <w:pStyle w:val="Heading2"/>
      </w:pPr>
      <w:r>
        <w:t xml:space="preserve">5.5 功效、独立事件数与模型复杂度上限</w:t>
      </w:r>
    </w:p>
    <w:p>
      <w:pPr>
        <w:spacing w:before="0" w:after="140" w:line="324" w:lineRule="auto"/>
        <w:ind w:firstLine="440"/>
        <w:jc w:val="both"/>
      </w:pPr>
      <w:r>
        <w:rPr>
          <w:rFonts w:ascii="Arial Unicode MS" w:hAnsi="Arial Unicode MS" w:eastAsia="Arial Unicode MS"/>
          <w:b w:val="0"/>
          <w:i w:val="0"/>
          <w:color w:val="172033"/>
          <w:sz w:val="22"/>
        </w:rPr>
        <w:t xml:space="preserve">4.6 节说明了为什么有效样本量必须以独立泡沫事件计，本节说明如何估计它。功效与精度模拟在设计冻结阶段完成，并作为开题答辩材料的一部分提交，而不是留到正式估计前——因为若独立事件数不足，需要修改的是设计本身，而不是估计流程。</w:t>
      </w:r>
    </w:p>
    <w:p>
      <w:pPr>
        <w:spacing w:before="0" w:after="140" w:line="324" w:lineRule="auto"/>
        <w:ind w:firstLine="440"/>
        <w:jc w:val="both"/>
      </w:pPr>
      <w:r>
        <w:rPr>
          <w:rFonts w:ascii="Arial Unicode MS" w:hAnsi="Arial Unicode MS" w:eastAsia="Arial Unicode MS"/>
          <w:b w:val="0"/>
          <w:i w:val="0"/>
          <w:color w:val="172033"/>
          <w:sz w:val="22"/>
        </w:rPr>
        <w:t xml:space="preserve">模拟以自助方式从 pilot 已有的日度面板出发，复现四项结构：预期正例率、跨币同步（以全市场收益的共同因子生成相关的爆炸倾向）、事件内序列相关（同一 episode 内相邻观测高度相关）、以及按平台与链分布的缺失结构。在此基础上向 30-50 币、2021-2025 年的目标规模外推，输出三项数字：核心样本的预期独立 episode 数与全市场周期数；在 1% 与 5% 误报率下可检测的最小 PR-AUC 增量；以及在既定有效 cluster 数下可稳定估计的自变量上限与是否支持交互项。</w:t>
      </w:r>
    </w:p>
    <w:p>
      <w:pPr>
        <w:spacing w:before="0" w:after="140" w:line="324" w:lineRule="auto"/>
        <w:ind w:firstLine="440"/>
        <w:jc w:val="both"/>
      </w:pPr>
      <w:r>
        <w:rPr>
          <w:rFonts w:ascii="Arial Unicode MS" w:hAnsi="Arial Unicode MS" w:eastAsia="Arial Unicode MS"/>
          <w:b w:val="0"/>
          <w:i w:val="0"/>
          <w:color w:val="172033"/>
          <w:sz w:val="22"/>
        </w:rPr>
        <w:t xml:space="preserve">模拟结果直接绑定降级规则，不留事后解释空间。若核心样本的全市场独立周期不足 10 个，H1c 与 H1d 的异质性检验、H2 的中介分解须预先降级为探索性分析，H3c 的置换检验不进入主结果；若可检测的最小 PR-AUC 增量大于文献中该类信号的典型效应量，则应在报告中明确声明本研究对 H1 的检验功效不足，而不是把不显著解释为“社交信号无效”。功效不足不能通过复制小时行、缩短标准误或增加币种名单解决，只能通过减少特征、合并高度相关变量或缩小预测期家族解决。</w:t>
      </w:r>
    </w:p>
    <w:p>
      <w:pPr>
        <w:pStyle w:val="Heading2"/>
      </w:pPr>
      <w:r>
        <w:t xml:space="preserve">5.6 识别、稳健性与统计治理</w:t>
      </w:r>
    </w:p>
    <w:p>
      <w:pPr>
        <w:spacing w:before="0" w:after="140" w:line="324" w:lineRule="auto"/>
        <w:ind w:firstLine="440"/>
        <w:jc w:val="both"/>
      </w:pPr>
      <w:r>
        <w:rPr>
          <w:rFonts w:ascii="Arial Unicode MS" w:hAnsi="Arial Unicode MS" w:eastAsia="Arial Unicode MS"/>
          <w:b w:val="0"/>
          <w:i w:val="0"/>
          <w:color w:val="172033"/>
          <w:sz w:val="22"/>
        </w:rPr>
        <w:t>价格反向影响社交关注是最主要威胁。严格滞后、丰富控制变量也不能自动消除它。本文通过只在当前非泡沫时建立预测起点、控制近期收益和成交量、分离解释与预测样本、检验 pre-trend 和反向路径来降低风险。任何使用未来结果窗口构造的特征均被禁止。</w:t>
      </w:r>
    </w:p>
    <w:p>
      <w:pPr>
        <w:spacing w:before="0" w:after="140" w:line="324" w:lineRule="auto"/>
        <w:ind w:firstLine="440"/>
        <w:jc w:val="both"/>
      </w:pPr>
      <w:r>
        <w:rPr>
          <w:rFonts w:ascii="Arial Unicode MS" w:hAnsi="Arial Unicode MS" w:eastAsia="Arial Unicode MS"/>
          <w:b w:val="0"/>
          <w:i w:val="0"/>
          <w:color w:val="172033"/>
          <w:sz w:val="22"/>
        </w:rPr>
        <w:t>解释性模型使用可观测全市场变量和时间效应控制共同冲击。Fear &amp; Greed 的组成可能与市场及社交变量重叠，因此只作为稳健性控制，而不是默认因果协变量。预测模型不能使用未来日期固定效应或后来修订的历史值。</w:t>
      </w:r>
    </w:p>
    <w:p>
      <w:pPr>
        <w:spacing w:before="0" w:after="140" w:line="324" w:lineRule="auto"/>
        <w:ind w:firstLine="440"/>
        <w:jc w:val="both"/>
      </w:pPr>
      <w:r>
        <w:rPr>
          <w:rFonts w:ascii="Arial Unicode MS" w:hAnsi="Arial Unicode MS" w:eastAsia="Arial Unicode MS"/>
          <w:b w:val="0"/>
          <w:i w:val="0"/>
          <w:color w:val="172033"/>
          <w:sz w:val="22"/>
        </w:rPr>
        <w:t>多重检验在假设家族内采用 FDR 调整，主结果、预测期和变量在分析前固定。模型复杂度依据独立泡沫进入事件数量，而不是小时行数。正式估计前将通过模拟功效和精度分析复现 cluster 结构、事件率、序列相关和缺失。如果事件不足，应减少特征和模型复杂度，而不能用名义行数辩护。</w:t>
      </w:r>
    </w:p>
    <w:p>
      <w:pPr>
        <w:spacing w:before="0" w:after="140" w:line="324" w:lineRule="auto"/>
        <w:ind w:firstLine="440"/>
        <w:jc w:val="both"/>
      </w:pPr>
      <w:r>
        <w:rPr>
          <w:rFonts w:ascii="Arial Unicode MS" w:hAnsi="Arial Unicode MS" w:eastAsia="Arial Unicode MS"/>
          <w:b w:val="0"/>
          <w:i w:val="0"/>
          <w:color w:val="172033"/>
          <w:sz w:val="22"/>
        </w:rPr>
        <w:t>缺失值不自动插补。平台中断、API 上限、退市和作者字段不可用均以覆盖标志表示。只有在缺失机制可辩护时才比较完整案例、来源特定和谨慎插补模型。研究将报告连接覆盖、重复率、时间缺口、来源截断及不同资产类别的纳入差异。</w:t>
      </w:r>
    </w:p>
    <w:p>
      <w:pPr>
        <w:keepNext/>
        <w:spacing w:before="40" w:after="40"/>
        <w:jc w:val="left"/>
      </w:pPr>
      <w:r>
        <w:rPr>
          <w:rFonts w:ascii="Arial Unicode MS" w:hAnsi="Arial Unicode MS" w:eastAsia="Arial Unicode MS"/>
          <w:b/>
          <w:i w:val="0"/>
          <w:color w:val="172033"/>
          <w:sz w:val="16"/>
        </w:rPr>
        <w:t xml:space="preserve">表 7. 必须完成的稳健性与诊断</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3430"/>
        <w:gridCol w:w="4242"/>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风险</w:t>
            </w:r>
          </w:p>
        </w:tc>
        <w:tc>
          <w:tcPr>
            <w:tcW w:type="dxa" w:w="343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主控制</w:t>
            </w:r>
          </w:p>
        </w:tc>
        <w:tc>
          <w:tcPr>
            <w:tcW w:type="dxa" w:w="4242"/>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必须进行的敏感性或证伪检验</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前视信息泄漏</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特征截至预测起点并设置分区缓冲</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自动时间戳审计和故意泄漏基准</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基准与完整模型复杂度不对等</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同模型类、同正则化、同超参空间；基准含泡沫强度 B(i,t)</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2×2（模型类 × 特征集）比较矩阵；仅在同一模型类内部读取增量</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反向因果</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滞后变量和非泡沫风险集</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反向路径、pre-trend、未来特征和事件平移安慰剂</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泡沫标签依赖</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预设 95% 主规则</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90%、99%、strict、持续期、滞后、价格源和 bootstrap 替代</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标签的横截面多重性</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预设 95% 主规则并报告期望假标签率</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更严格的对照标签集（99% + 加成持续期）；主结果须在两套标签下同时成立</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稀有结果</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Hazard 模型和 PR-AUC</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惩罚/rare-event 模型、校准和固定误报率 recall</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横截面相关</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市场控制和时间效应</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双向聚类、分块 bootstrap 和市场状态子样本</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平台选择</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分平台估计</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Leave-one-platform-out 和覆盖平衡样本</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代理有效性</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已知事件与人工标签验证</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各组成项、逐项剔除和误报分析</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社交数据生存者偏差</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报告频道存续期与覆盖起始日期分布</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“存续子集”重估；有/无社交覆盖两组的泡沫率与退市率对比</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中介与前因的构造重叠</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X 与 M 成分互斥、作者集合互斥</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报告 corr(X, M)；以 X 的滞后副本替代 M 的安慰剂中介估计</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生存者偏差</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包含退市资产的时点化币池</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时点化样本与当前存续样本比较</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多重检验</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预设家族和 FDR</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同时报告未调整/调整区间，禁止事后换预测期</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模型不稳定</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扩展窗口验证</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系数漂移、校准漂移、逐事件剔除和市场阶段检验</w:t>
            </w:r>
          </w:p>
        </w:tc>
      </w:tr>
    </w:tbl>
    <w:p>
      <w:pPr>
        <w:spacing w:after="20"/>
      </w:pPr>
    </w:p>
    <w:p>
      <w:pPr>
        <w:pStyle w:val="Heading1"/>
      </w:pPr>
      <w:r>
        <w:t xml:space="preserve">六、试点证据、证据边界与预期贡献</w:t>
      </w:r>
    </w:p>
    <w:p>
      <w:pPr>
        <w:pStyle w:val="Heading2"/>
      </w:pPr>
      <w:r>
        <w:t>6.1 目的与证据边界</w:t>
      </w:r>
    </w:p>
    <w:p>
      <w:pPr>
        <w:spacing w:before="0" w:after="140" w:line="324" w:lineRule="auto"/>
        <w:ind w:firstLine="440"/>
        <w:jc w:val="both"/>
      </w:pPr>
      <w:r>
        <w:rPr>
          <w:rFonts w:ascii="Arial Unicode MS" w:hAnsi="Arial Unicode MS" w:eastAsia="Arial Unicode MS"/>
          <w:b w:val="0"/>
          <w:i w:val="0"/>
          <w:color w:val="172033"/>
          <w:sz w:val="22"/>
        </w:rPr>
        <w:t>Pilot 的任务是判断数据和模型链路能否实现，而不是判断最终假设真假。市场 pilot 包含六个币种的 6,000 行币种-日观测和 strict BSADF 方法检验，但 bootstrap 只有 99 次，因此不是正式临界值估计。13 币种 GSADF/Reddit pilot 证明了多币事件窗口可以构建，同时显示简单 Reddit-only 信号的样本外增量证据较弱。</w:t>
      </w:r>
    </w:p>
    <w:p>
      <w:pPr>
        <w:spacing w:before="0" w:after="140" w:line="324" w:lineRule="auto"/>
        <w:ind w:firstLine="440"/>
        <w:jc w:val="both"/>
      </w:pPr>
      <w:r>
        <w:rPr>
          <w:rFonts w:ascii="Arial Unicode MS" w:hAnsi="Arial Unicode MS" w:eastAsia="Arial Unicode MS"/>
          <w:b w:val="0"/>
          <w:i w:val="0"/>
          <w:color w:val="172033"/>
          <w:sz w:val="22"/>
        </w:rPr>
        <w:t>Pilot 具体检验五类操作是否可行：市场历史能否稳定采集；递归泡沫标签能否生成；社交消息能否标准化和去重；事件窗口能否在无明显前视泄漏的情况下连接；H1 与 H2 的模型代码能否执行。它没有估计目标总体的最终效应，因为现有数据采用事件窗口抽样、平台有限、文本指标较简单，而且正式 BSADF 临界值的 bootstrap 重复不足。</w:t>
      </w:r>
    </w:p>
    <w:p>
      <w:pPr>
        <w:spacing w:before="0" w:after="140" w:line="324" w:lineRule="auto"/>
        <w:ind w:firstLine="440"/>
        <w:jc w:val="both"/>
      </w:pPr>
      <w:r>
        <w:rPr>
          <w:rFonts w:ascii="Arial Unicode MS" w:hAnsi="Arial Unicode MS" w:eastAsia="Arial Unicode MS"/>
          <w:b w:val="0"/>
          <w:i w:val="0"/>
          <w:color w:val="172033"/>
          <w:sz w:val="22"/>
        </w:rPr>
        <w:t xml:space="preserve">为避免把可运行性误写成实证支持，本章把结果分为四类。“管道发现”只说明代码、schema、连接或模型可以工作；“诊断发现”说明某个信号可能较弱或某个数据问题会影响正式设计；“无信息结果”指估计已经跑通、但有效样本量小到区间无法排除任何有实际意义的效应量——它既不是支持也不是否定，把它写成“负结果”同样是过度解读；“假设发现”则必须来自预设生产样本、验证构念和时间外评价。现有 pilot 结果分布在前三类，没有一项属于第四类。</w:t>
      </w:r>
    </w:p>
    <w:p>
      <w:pPr>
        <w:pStyle w:val="Heading2"/>
      </w:pPr>
      <w:r>
        <w:t>6.2 市场历史与递归泡沫标签</w:t>
      </w:r>
    </w:p>
    <w:p>
      <w:pPr>
        <w:spacing w:before="0" w:after="140" w:line="324" w:lineRule="auto"/>
        <w:ind w:firstLine="440"/>
        <w:jc w:val="both"/>
      </w:pPr>
      <w:r>
        <w:rPr>
          <w:rFonts w:ascii="Arial Unicode MS" w:hAnsi="Arial Unicode MS" w:eastAsia="Arial Unicode MS"/>
          <w:b w:val="0"/>
          <w:i w:val="0"/>
          <w:color w:val="172033"/>
          <w:sz w:val="22"/>
        </w:rPr>
        <w:t xml:space="preserve">最初的市场层包含 BTC、ETH、SOL、DOGE、SHIB 和 PEPE 的 4,320 行币种-小时记录，覆盖一个 30 日操作测试；随后建立 6,000 行币种-日面板，每个币种约 1,000 个观测。需要说明的是，该 pilot 面板的时间范围大致为 2023 年 9 月至 2026 年 6 月，既未覆盖正式样本期的起点 2021 年，又向后越过了正式样本期的终点 2025 年。这既是 pilot 只用于管道验证的直接证据，也是 4.3 节必须把 2025 年从“锁定测试集”降级为“已部分观察的时间外评价期”的原因。该日度面板支持第一版 strict GSADF/BSADF 实现。部分标记集中在 2024 年 3 月初的 DOGE、PEPE 和 SHIB，其他大币种也有零星标记。时间聚集具有经济合理性，但同时说明跨币标记高度同步，不能按币种数量计算独立事件。</w:t>
      </w:r>
    </w:p>
    <w:p>
      <w:pPr>
        <w:spacing w:before="0" w:after="140" w:line="324" w:lineRule="auto"/>
        <w:ind w:firstLine="440"/>
        <w:jc w:val="both"/>
      </w:pPr>
      <w:r>
        <w:rPr>
          <w:rFonts w:ascii="Arial Unicode MS" w:hAnsi="Arial Unicode MS" w:eastAsia="Arial Unicode MS"/>
          <w:b w:val="0"/>
          <w:i w:val="0"/>
          <w:color w:val="172033"/>
          <w:sz w:val="22"/>
        </w:rPr>
        <w:t>目标币扩展收集了 SHIB、PEPE、ADA、UNI、TRX、SOL、ZEC、LINK、HBAR、AVAX、DOT、CAKE 各约 999 个日度观测，TON 的历史较短。strict pilot 的事件天数呈明显差异：UNI 和 AVAX 为 0；TRX、LINK 为 1；SOL、TON、DOT 和 CAKE 为 2；SHIB、HBAR 各 10；PEPE 为 15；ADA 为 22；ZEC 为 44。该结果说明多币设计不会只由 meme coin 决定，但每个标记事件的经济性质仍需验证。</w:t>
      </w:r>
    </w:p>
    <w:p>
      <w:pPr>
        <w:spacing w:before="0" w:after="140" w:line="324" w:lineRule="auto"/>
        <w:ind w:firstLine="440"/>
        <w:jc w:val="both"/>
      </w:pPr>
      <w:r>
        <w:rPr>
          <w:rFonts w:ascii="Arial Unicode MS" w:hAnsi="Arial Unicode MS" w:eastAsia="Arial Unicode MS"/>
          <w:b w:val="0"/>
          <w:i w:val="0"/>
          <w:color w:val="172033"/>
          <w:sz w:val="22"/>
        </w:rPr>
        <w:t xml:space="preserve">这一分布正是 4.6 节推算的原始输入，也说明为什么“事件天数”不能直接当作样本量。ZEC 的 44 个标记日几乎全部落在同一段行情内，应计为一个 episode；SHIB、PEPE 与 DOGE 的标记集中于 2024 年 3 月初的同一个 meme 周期，在全市场层面同样只对应一个独立周期。按最短间隔合并并扣除跨币同步后，13 币 pilot 提供的独立全市场周期大约只有个位数。</w:t>
      </w:r>
    </w:p>
    <w:p>
      <w:pPr>
        <w:keepNext/>
        <w:spacing w:before="60" w:after="40"/>
        <w:jc w:val="center"/>
      </w:pPr>
      <w:r>
        <w:drawing>
          <wp:inline xmlns:a="http://schemas.openxmlformats.org/drawingml/2006/main" xmlns:pic="http://schemas.openxmlformats.org/drawingml/2006/picture">
            <wp:extent cx="5486400" cy="3474720"/>
            <wp:docPr id="2" name="Picture 2"/>
            <wp:cNvGraphicFramePr>
              <a:graphicFrameLocks noChangeAspect="1"/>
            </wp:cNvGraphicFramePr>
            <a:graphic>
              <a:graphicData uri="http://schemas.openxmlformats.org/drawingml/2006/picture">
                <pic:pic>
                  <pic:nvPicPr>
                    <pic:cNvPr id="0" name="strict_bubble_days_by_coin.png"/>
                    <pic:cNvPicPr/>
                  </pic:nvPicPr>
                  <pic:blipFill>
                    <a:blip r:embed="rId12"/>
                    <a:stretch>
                      <a:fillRect/>
                    </a:stretch>
                  </pic:blipFill>
                  <pic:spPr>
                    <a:xfrm>
                      <a:off x="0" y="0"/>
                      <a:ext cx="5486400" cy="3474720"/>
                    </a:xfrm>
                    <a:prstGeom prst="rect"/>
                  </pic:spPr>
                </pic:pic>
              </a:graphicData>
            </a:graphic>
          </wp:inline>
        </w:drawing>
      </w:r>
    </w:p>
    <w:p>
      <w:pPr>
        <w:spacing w:before="20" w:after="80"/>
        <w:jc w:val="center"/>
      </w:pPr>
      <w:r>
        <w:rPr>
          <w:rFonts w:ascii="Arial Unicode MS" w:hAnsi="Arial Unicode MS" w:eastAsia="Arial Unicode MS"/>
          <w:b w:val="0"/>
          <w:i/>
          <w:color w:val="5B6573"/>
          <w:sz w:val="17"/>
        </w:rPr>
        <w:t xml:space="preserve">图 4. 13 个目标币在 strict pilot 规则下的 GSADF 泡沫天数。该图仅用于方法与事件选择诊断，不构成正式泡沫日期认定。</w:t>
      </w:r>
    </w:p>
    <w:p>
      <w:pPr>
        <w:spacing w:before="0" w:after="140" w:line="324" w:lineRule="auto"/>
        <w:ind w:firstLine="440"/>
        <w:jc w:val="both"/>
      </w:pPr>
      <w:r>
        <w:rPr>
          <w:rFonts w:ascii="Arial Unicode MS" w:hAnsi="Arial Unicode MS" w:eastAsia="Arial Unicode MS"/>
          <w:b w:val="0"/>
          <w:i w:val="0"/>
          <w:color w:val="172033"/>
          <w:sz w:val="22"/>
        </w:rPr>
        <w:t>这一版只使用 99 次 bootstrap 和补充性统计阈值。正式研究将大幅提高重复次数，按多个价格来源重新估计动态临界值，并报告滞后、最短持续期和置信水平敏感性。事件数必须在规则冻结后重新计算，不能根据社交模型结果反向调整泡沫标签。</w:t>
      </w:r>
    </w:p>
    <w:p>
      <w:pPr>
        <w:pStyle w:val="Heading2"/>
      </w:pPr>
      <w:r>
        <w:t>6.3 Reddit 与单币种 H1 诊断</w:t>
      </w:r>
    </w:p>
    <w:p>
      <w:pPr>
        <w:spacing w:before="0" w:after="140" w:line="324" w:lineRule="auto"/>
        <w:ind w:firstLine="440"/>
        <w:jc w:val="both"/>
      </w:pPr>
      <w:r>
        <w:rPr>
          <w:rFonts w:ascii="Arial Unicode MS" w:hAnsi="Arial Unicode MS" w:eastAsia="Arial Unicode MS"/>
          <w:b w:val="0"/>
          <w:i w:val="0"/>
          <w:color w:val="172033"/>
          <w:sz w:val="22"/>
        </w:rPr>
        <w:t>低成本 H1 pilot 将目标币在 r/CryptoCurrency 中的活动与 strict GSADF 事件窗口连接。统一来源使第一版跨币连接成为可能，但币种提及很稀疏，也无法代表每个币种的完整社群。最终预测表包含 783 个事件窗口观测。在线性概率诊断中，市场模型的 R-squared 为 0.0246；加入注意力后为 0.0256；再加入极端情绪与 FOMO/FUD 后为 0.0297。增量很小，应解释为 Reddit-only 证据较弱，而不是 H1 获得支持。</w:t>
      </w:r>
    </w:p>
    <w:p>
      <w:pPr>
        <w:spacing w:before="0" w:after="140" w:line="324" w:lineRule="auto"/>
        <w:ind w:firstLine="440"/>
        <w:jc w:val="both"/>
      </w:pPr>
      <w:r>
        <w:rPr>
          <w:rFonts w:ascii="Arial Unicode MS" w:hAnsi="Arial Unicode MS" w:eastAsia="Arial Unicode MS"/>
          <w:b w:val="0"/>
          <w:i w:val="0"/>
          <w:color w:val="172033"/>
          <w:sz w:val="22"/>
        </w:rPr>
        <w:t xml:space="preserve">此处的数值需要在答辩前完成一次核对。本节 Reddit pilot 的线性概率 R-squared 为 0.0246 至 0.0297，而 6.5 节表 8 中 Telegram pilot 的对应数值为 0.246 至 0.280，二者恰好相差一个数量级。两个 pilot 的样本和设定确实不同，量级差异并非不可能，但这种恰好十倍的巧合更可能来自其中一处的小数点错误。正式稿必须重新从结果登记表中取数并统一小数位，在核实之前不应在答辩中同时引用这两组数字。</w:t>
      </w:r>
    </w:p>
    <w:p>
      <w:pPr>
        <w:spacing w:before="0" w:after="140" w:line="324" w:lineRule="auto"/>
        <w:ind w:firstLine="440"/>
        <w:jc w:val="both"/>
      </w:pPr>
      <w:r>
        <w:rPr>
          <w:rFonts w:ascii="Arial Unicode MS" w:hAnsi="Arial Unicode MS" w:eastAsia="Arial Unicode MS"/>
          <w:b w:val="0"/>
          <w:i w:val="0"/>
          <w:color w:val="172033"/>
          <w:sz w:val="22"/>
        </w:rPr>
        <w:t>XRP 和 SOL 的单币种分析对检查事件对齐和选择采集窗口有帮助，也暴露了典型案例的局限：结果会依赖来源覆盖、事件选择和“进入前”时间定义。正式研究保留 XRP 作为容易解释的主案例之一，但主要结论必须来自多币种面板。单币结果不能承担建立统计 pattern 的任务。</w:t>
      </w:r>
    </w:p>
    <w:p>
      <w:pPr>
        <w:pStyle w:val="Heading2"/>
      </w:pPr>
      <w:r>
        <w:t>6.4 Telegram 采集与正式 schema</w:t>
      </w:r>
    </w:p>
    <w:p>
      <w:pPr>
        <w:spacing w:before="0" w:after="140" w:line="324" w:lineRule="auto"/>
        <w:ind w:firstLine="440"/>
        <w:jc w:val="both"/>
      </w:pPr>
      <w:r>
        <w:rPr>
          <w:rFonts w:ascii="Arial Unicode MS" w:hAnsi="Arial Unicode MS" w:eastAsia="Arial Unicode MS"/>
          <w:b w:val="0"/>
          <w:i w:val="0"/>
          <w:color w:val="172033"/>
          <w:sz w:val="22"/>
        </w:rPr>
        <w:t>正式 Telegram pilot 将 XRP、ADA 和 HBAR 的 22,888 条公开消息映射为 clean schema，形成 29,909 行消息-事件桥接、2,811 行币种-小时社交特征和 2,811 行协同推广特征。模型面板共 170 行，其中 46 行为未来七日进入正例。这是事件窗口样本，不是具有代表性的全历史面板。</w:t>
      </w:r>
    </w:p>
    <w:p>
      <w:pPr>
        <w:spacing w:before="0" w:after="140" w:line="324" w:lineRule="auto"/>
        <w:ind w:firstLine="440"/>
        <w:jc w:val="both"/>
      </w:pPr>
      <w:r>
        <w:rPr>
          <w:rFonts w:ascii="Arial Unicode MS" w:hAnsi="Arial Unicode MS" w:eastAsia="Arial Unicode MS"/>
          <w:b w:val="0"/>
          <w:i w:val="0"/>
          <w:color w:val="172033"/>
          <w:sz w:val="22"/>
        </w:rPr>
        <w:t>该实现验证了若干较难的操作：稳定来源标识、UTC 转换、抓取重复与实质性重复文本分离、事件窗口映射、在作者字段可用时计算集中度、爆发特征构造以及滞后变量生成。它也提前暴露了正式采集风险。一个 HBAR 来源在多数日期接近 5,000 条消息上限，存在截断；XRP 的部分原始提取缺少完整作者元数据；公开频道也不能代表私密协调群或全部散户。</w:t>
      </w:r>
    </w:p>
    <w:p>
      <w:pPr>
        <w:pStyle w:val="Heading2"/>
      </w:pPr>
      <w:r>
        <w:t>6.5 正式 pilot 面板中的 H1 模型比较</w:t>
      </w:r>
    </w:p>
    <w:p>
      <w:pPr>
        <w:spacing w:before="0" w:after="140" w:line="324" w:lineRule="auto"/>
        <w:ind w:firstLine="440"/>
        <w:jc w:val="both"/>
      </w:pPr>
      <w:r>
        <w:rPr>
          <w:rFonts w:ascii="Arial Unicode MS" w:hAnsi="Arial Unicode MS" w:eastAsia="Arial Unicode MS"/>
          <w:b w:val="0"/>
          <w:i w:val="0"/>
          <w:color w:val="172033"/>
          <w:sz w:val="22"/>
        </w:rPr>
        <w:t xml:space="preserve">市场基准模型的样本内 AUC 为 0.823；单独加入传播没有实质改善；加入情绪后为 0.843；再加入协同推广代理后为 0.856。Pilot Brier score 从 0.146 降至 0.139。这些数值说明 schema 和嵌套模型比较可以运行，不能被称为预测表现。</w:t>
      </w:r>
    </w:p>
    <w:p>
      <w:pPr>
        <w:spacing w:before="0" w:after="140" w:line="324" w:lineRule="auto"/>
        <w:ind w:firstLine="440"/>
        <w:jc w:val="both"/>
      </w:pPr>
      <w:r>
        <w:rPr>
          <w:rFonts w:ascii="Arial Unicode MS" w:hAnsi="Arial Unicode MS" w:eastAsia="Arial Unicode MS"/>
          <w:b w:val="0"/>
          <w:i w:val="0"/>
          <w:color w:val="172033"/>
          <w:sz w:val="22"/>
        </w:rPr>
        <w:t xml:space="preserve">有四项限制必须与这些数字一并陈述，缺一项都会造成误读。第一，样本围绕事件窗口抽取，170 行中有 46 个正例，正例率高达 27%，而正式全历史面板的预期正例率为 0.5% 至 2%，相差一个数量级；在高正例率样本上得到的 AUC 与稀有事件下的实际表现没有可比性，这也与本文其他各处的“稀有事件”框架直接冲突。第二，未使用时间外评价，全部为样本内拟合。第三，只覆盖单一平台，且不同币种的标签来源尚未统一。第四，基准模型与完整模型的函数复杂度不对等，而基准中又未纳入 5.1 节定义的泡沫强度 B(i,t)——对市场基准达到 0.823 最自然的解释，正是“BSADF 已接近阈值”这一条信息被留在了基准之外。</w:t>
      </w:r>
    </w:p>
    <w:p>
      <w:pPr>
        <w:spacing w:before="0" w:after="140" w:line="324" w:lineRule="auto"/>
        <w:ind w:firstLine="440"/>
        <w:jc w:val="both"/>
      </w:pPr>
      <w:r>
        <w:rPr>
          <w:rFonts w:ascii="Arial Unicode MS" w:hAnsi="Arial Unicode MS" w:eastAsia="Arial Unicode MS"/>
          <w:b w:val="0"/>
          <w:i w:val="0"/>
          <w:color w:val="172033"/>
          <w:sz w:val="22"/>
        </w:rPr>
        <w:t xml:space="preserve">还有一项现稿的记录缺口：pilot 报告了 AUC，却没有记录产生该数值的模型类别、正则化设定与超参。按 5.2 节的协议，这类结果此后一律与模型配置、随机种子和代码版本一并进入结果登记表，否则数字无法复核，也无法判断增量究竟来自特征还是来自函数形式。</w:t>
      </w:r>
    </w:p>
    <w:p>
      <w:pPr>
        <w:spacing w:before="0" w:after="140" w:line="324" w:lineRule="auto"/>
        <w:ind w:firstLine="440"/>
        <w:jc w:val="both"/>
      </w:pPr>
      <w:r>
        <w:rPr>
          <w:rFonts w:ascii="Arial Unicode MS" w:hAnsi="Arial Unicode MS" w:eastAsia="Arial Unicode MS"/>
          <w:b w:val="0"/>
          <w:i w:val="0"/>
          <w:color w:val="172033"/>
          <w:sz w:val="22"/>
        </w:rPr>
        <w:t>正式日度模型输入在风险集构造前包含 ADA、HBAR 和 XRP 的 217 行币种-日-平台记录。限制到当前非泡沫预测起点并构造未来七日进入后，模型面板为 170 行、46 个正例。风险集构造前，ADA、HBAR 和 XRP 分别贡献 112、61 和 44 个来源日。不同币种标签来源尚未完全统一，这是不能把结果解释为正式 pooled 估计的重要原因。</w:t>
      </w:r>
    </w:p>
    <w:p>
      <w:pPr>
        <w:keepNext/>
        <w:spacing w:before="40" w:after="40"/>
        <w:jc w:val="left"/>
      </w:pPr>
      <w:r>
        <w:rPr>
          <w:rFonts w:ascii="Arial Unicode MS" w:hAnsi="Arial Unicode MS" w:eastAsia="Arial Unicode MS"/>
          <w:b/>
          <w:i w:val="0"/>
          <w:color w:val="172033"/>
          <w:sz w:val="16"/>
        </w:rPr>
        <w:t xml:space="preserve">表 8. Telegram H1 pilot 的嵌套模型比较</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989"/>
        <w:gridCol w:w="989"/>
        <w:gridCol w:w="989"/>
        <w:gridCol w:w="1113"/>
        <w:gridCol w:w="1360"/>
        <w:gridCol w:w="989"/>
        <w:gridCol w:w="2597"/>
      </w:tblGrid>
      <w:tr>
        <w:trPr>
          <w:tblHeader w:val="true"/>
          <w:cantSplit/>
        </w:trPr>
        <w:tc>
          <w:tcPr>
            <w:tcW w:type="dxa" w:w="989"/>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模型模块</w:t>
            </w:r>
          </w:p>
        </w:tc>
        <w:tc>
          <w:tcPr>
            <w:tcW w:type="dxa" w:w="989"/>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行数</w:t>
            </w:r>
          </w:p>
        </w:tc>
        <w:tc>
          <w:tcPr>
            <w:tcW w:type="dxa" w:w="989"/>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正例</w:t>
            </w:r>
          </w:p>
        </w:tc>
        <w:tc>
          <w:tcPr>
            <w:tcW w:type="dxa" w:w="1113"/>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R-squared</w:t>
            </w:r>
          </w:p>
        </w:tc>
        <w:tc>
          <w:tcPr>
            <w:tcW w:type="dxa" w:w="136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Brier score</w:t>
            </w:r>
          </w:p>
        </w:tc>
        <w:tc>
          <w:tcPr>
            <w:tcW w:type="dxa" w:w="989"/>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样本内 AUC</w:t>
            </w:r>
          </w:p>
        </w:tc>
        <w:tc>
          <w:tcPr>
            <w:tcW w:type="dxa" w:w="259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解释</w:t>
            </w:r>
          </w:p>
        </w:tc>
      </w:tr>
      <w:tr>
        <w:trPr>
          <w:cantSplit/>
        </w:trPr>
        <w:tc>
          <w:tcPr>
            <w:tcW w:type="dxa" w:w="989"/>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仅市场变量</w:t>
            </w:r>
          </w:p>
        </w:tc>
        <w:tc>
          <w:tcPr>
            <w:tcW w:type="dxa" w:w="989"/>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170</w:t>
            </w:r>
          </w:p>
        </w:tc>
        <w:tc>
          <w:tcPr>
            <w:tcW w:type="dxa" w:w="989"/>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46</w:t>
            </w:r>
          </w:p>
        </w:tc>
        <w:tc>
          <w:tcPr>
            <w:tcW w:type="dxa" w:w="1113"/>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0.246</w:t>
            </w:r>
          </w:p>
        </w:tc>
        <w:tc>
          <w:tcPr>
            <w:tcW w:type="dxa" w:w="136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0.146</w:t>
            </w:r>
          </w:p>
        </w:tc>
        <w:tc>
          <w:tcPr>
            <w:tcW w:type="dxa" w:w="989"/>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0.823</w:t>
            </w:r>
          </w:p>
        </w:tc>
        <w:tc>
          <w:tcPr>
            <w:tcW w:type="dxa" w:w="259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基准管道模型</w:t>
            </w:r>
          </w:p>
        </w:tc>
      </w:tr>
      <w:tr>
        <w:trPr>
          <w:cantSplit/>
        </w:trPr>
        <w:tc>
          <w:tcPr>
            <w:tcW w:type="dxa" w:w="989"/>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加入传播</w:t>
            </w:r>
          </w:p>
        </w:tc>
        <w:tc>
          <w:tcPr>
            <w:tcW w:type="dxa" w:w="989"/>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170</w:t>
            </w:r>
          </w:p>
        </w:tc>
        <w:tc>
          <w:tcPr>
            <w:tcW w:type="dxa" w:w="989"/>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46</w:t>
            </w:r>
          </w:p>
        </w:tc>
        <w:tc>
          <w:tcPr>
            <w:tcW w:type="dxa" w:w="1113"/>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0.247</w:t>
            </w:r>
          </w:p>
        </w:tc>
        <w:tc>
          <w:tcPr>
            <w:tcW w:type="dxa" w:w="136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0.146</w:t>
            </w:r>
          </w:p>
        </w:tc>
        <w:tc>
          <w:tcPr>
            <w:tcW w:type="dxa" w:w="989"/>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0.823</w:t>
            </w:r>
          </w:p>
        </w:tc>
        <w:tc>
          <w:tcPr>
            <w:tcW w:type="dxa" w:w="259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没有实质增量变化</w:t>
            </w:r>
          </w:p>
        </w:tc>
      </w:tr>
      <w:tr>
        <w:trPr>
          <w:cantSplit/>
        </w:trPr>
        <w:tc>
          <w:tcPr>
            <w:tcW w:type="dxa" w:w="989"/>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加入情绪</w:t>
            </w:r>
          </w:p>
        </w:tc>
        <w:tc>
          <w:tcPr>
            <w:tcW w:type="dxa" w:w="989"/>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170</w:t>
            </w:r>
          </w:p>
        </w:tc>
        <w:tc>
          <w:tcPr>
            <w:tcW w:type="dxa" w:w="989"/>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46</w:t>
            </w:r>
          </w:p>
        </w:tc>
        <w:tc>
          <w:tcPr>
            <w:tcW w:type="dxa" w:w="1113"/>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0.264</w:t>
            </w:r>
          </w:p>
        </w:tc>
        <w:tc>
          <w:tcPr>
            <w:tcW w:type="dxa" w:w="136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0.142</w:t>
            </w:r>
          </w:p>
        </w:tc>
        <w:tc>
          <w:tcPr>
            <w:tcW w:type="dxa" w:w="989"/>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0.843</w:t>
            </w:r>
          </w:p>
        </w:tc>
        <w:tc>
          <w:tcPr>
            <w:tcW w:type="dxa" w:w="259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Pilot 内改善，仍需验证文本与时间划分</w:t>
            </w:r>
          </w:p>
        </w:tc>
      </w:tr>
      <w:tr>
        <w:trPr>
          <w:cantSplit/>
        </w:trPr>
        <w:tc>
          <w:tcPr>
            <w:tcW w:type="dxa" w:w="989"/>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加入协同推广机制</w:t>
            </w:r>
          </w:p>
        </w:tc>
        <w:tc>
          <w:tcPr>
            <w:tcW w:type="dxa" w:w="989"/>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170</w:t>
            </w:r>
          </w:p>
        </w:tc>
        <w:tc>
          <w:tcPr>
            <w:tcW w:type="dxa" w:w="989"/>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46</w:t>
            </w:r>
          </w:p>
        </w:tc>
        <w:tc>
          <w:tcPr>
            <w:tcW w:type="dxa" w:w="1113"/>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0.280</w:t>
            </w:r>
          </w:p>
        </w:tc>
        <w:tc>
          <w:tcPr>
            <w:tcW w:type="dxa" w:w="136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0.139</w:t>
            </w:r>
          </w:p>
        </w:tc>
        <w:tc>
          <w:tcPr>
            <w:tcW w:type="dxa" w:w="989"/>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0.856</w:t>
            </w:r>
          </w:p>
        </w:tc>
        <w:tc>
          <w:tcPr>
            <w:tcW w:type="dxa" w:w="259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样本内拟合最高；事件选择禁止作性能主张</w:t>
            </w:r>
          </w:p>
        </w:tc>
      </w:tr>
    </w:tbl>
    <w:p>
      <w:pPr>
        <w:spacing w:after="20"/>
      </w:pPr>
    </w:p>
    <w:p>
      <w:pPr>
        <w:spacing w:before="0" w:after="140" w:line="324" w:lineRule="auto"/>
        <w:ind w:firstLine="440"/>
        <w:jc w:val="both"/>
      </w:pPr>
      <w:r>
        <w:rPr>
          <w:rFonts w:ascii="Arial Unicode MS" w:hAnsi="Arial Unicode MS" w:eastAsia="Arial Unicode MS"/>
          <w:b w:val="0"/>
          <w:i w:val="0"/>
          <w:color w:val="172033"/>
          <w:sz w:val="22"/>
        </w:rPr>
        <w:t>嵌套比较表明正式 schema 能够提供计划中的变量模块，但不能说明目标总体 AUC 为 0.856。估计来自小规模事件窗口，未设置锁定测试，且可能受构造面板所用同一事件影响。传播单独加入后没有改善也具有诊断意义：在市场条件已经进入模型时，更多消息量不一定自动增加信息。</w:t>
      </w:r>
    </w:p>
    <w:p>
      <w:pPr>
        <w:spacing w:before="0" w:after="140" w:line="324" w:lineRule="auto"/>
        <w:ind w:firstLine="440"/>
        <w:jc w:val="both"/>
      </w:pPr>
      <w:r>
        <w:rPr>
          <w:rFonts w:ascii="Arial Unicode MS" w:hAnsi="Arial Unicode MS" w:eastAsia="Arial Unicode MS"/>
          <w:b w:val="0"/>
          <w:i w:val="0"/>
          <w:color w:val="172033"/>
          <w:sz w:val="22"/>
        </w:rPr>
        <w:t>另一个 ADA/HBAR 事件窗口诊断得到方向相似但较弱的 R-squared 变化：市场模型为 0.120，加入传播后 0.148，再加入情绪后 0.156，加入协同推广代理后 0.158。这些数值用于证明模块可运行，不代表外部有效性。</w:t>
      </w:r>
    </w:p>
    <w:p>
      <w:pPr>
        <w:pStyle w:val="Heading2"/>
      </w:pPr>
      <w:r>
        <w:t>6.6 H2 中介效应 pilot</w:t>
      </w:r>
    </w:p>
    <w:p>
      <w:pPr>
        <w:spacing w:before="0" w:after="140" w:line="324" w:lineRule="auto"/>
        <w:ind w:firstLine="440"/>
        <w:jc w:val="both"/>
      </w:pPr>
      <w:r>
        <w:rPr>
          <w:rFonts w:ascii="Arial Unicode MS" w:hAnsi="Arial Unicode MS" w:eastAsia="Arial Unicode MS"/>
          <w:b w:val="0"/>
          <w:i w:val="0"/>
          <w:color w:val="172033"/>
          <w:sz w:val="22"/>
        </w:rPr>
        <w:t xml:space="preserve">四组 H2 pilot 间接效应区间全部跨 0。按 6.1 节的分类，这属于“无信息结果”而不是负结果：中介计算链路已经跑通，但当前数据不具备拒绝任何假设的功效。</w:t>
      </w:r>
    </w:p>
    <w:p>
      <w:pPr>
        <w:spacing w:before="0" w:after="140" w:line="324" w:lineRule="auto"/>
        <w:ind w:firstLine="440"/>
        <w:jc w:val="both"/>
      </w:pPr>
      <w:r>
        <w:rPr>
          <w:rFonts w:ascii="Arial Unicode MS" w:hAnsi="Arial Unicode MS" w:eastAsia="Arial Unicode MS"/>
          <w:b w:val="0"/>
          <w:i w:val="0"/>
          <w:color w:val="172033"/>
          <w:sz w:val="22"/>
        </w:rPr>
        <w:t>H2 代码分别估计基础情绪到中介的路径、总结果关联、控制中介后的结果关联以及乘积系数间接效应，并在同一正式面板上生成事件或分块 bootstrap 区间。四个主要组合以极端情绪或 FOMO 为前因，以综合协同推广指数或协调指数为中介。</w:t>
      </w:r>
    </w:p>
    <w:p>
      <w:pPr>
        <w:keepNext/>
        <w:spacing w:before="40" w:after="40"/>
        <w:jc w:val="left"/>
      </w:pPr>
      <w:r>
        <w:rPr>
          <w:rFonts w:ascii="Arial Unicode MS" w:hAnsi="Arial Unicode MS" w:eastAsia="Arial Unicode MS"/>
          <w:b/>
          <w:i w:val="0"/>
          <w:color w:val="172033"/>
          <w:sz w:val="16"/>
        </w:rPr>
        <w:t xml:space="preserve">表 9. Telegram H2 pilot 的间接效应</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903"/>
        <w:gridCol w:w="2166"/>
        <w:gridCol w:w="2166"/>
        <w:gridCol w:w="1986"/>
        <w:gridCol w:w="1805"/>
      </w:tblGrid>
      <w:tr>
        <w:trPr>
          <w:tblHeader w:val="true"/>
          <w:cantSplit/>
        </w:trPr>
        <w:tc>
          <w:tcPr>
            <w:tcW w:type="dxa" w:w="903"/>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前因变量</w:t>
            </w:r>
          </w:p>
        </w:tc>
        <w:tc>
          <w:tcPr>
            <w:tcW w:type="dxa" w:w="216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中介变量</w:t>
            </w:r>
          </w:p>
        </w:tc>
        <w:tc>
          <w:tcPr>
            <w:tcW w:type="dxa" w:w="216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间接效应</w:t>
            </w:r>
          </w:p>
        </w:tc>
        <w:tc>
          <w:tcPr>
            <w:tcW w:type="dxa" w:w="198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Bootstrap 区间</w:t>
            </w:r>
          </w:p>
        </w:tc>
        <w:tc>
          <w:tcPr>
            <w:tcW w:type="dxa" w:w="1805"/>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Pilot 解读</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极端情绪</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综合协同推广指数</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0.237</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[-1.231, 2.363]</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区间跨 0；宽度远大于点估计，属无信息结果</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FOMO</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综合协同推广指数</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-0.214</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[-0.646, 0.054]</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区间跨 0；宽度远大于点估计，属无信息结果</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极端情绪</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协调指数</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0.133</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[-1.185, 1.915]</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区间跨 0；宽度远大于点估计，属无信息结果</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FOMO</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协调指数</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0.002</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[-0.163, 0.149]</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区间跨 0；宽度远大于点估计，属无信息结果</w:t>
            </w:r>
          </w:p>
        </w:tc>
      </w:tr>
    </w:tbl>
    <w:p>
      <w:pPr>
        <w:spacing w:after="20"/>
      </w:pPr>
    </w:p>
    <w:p>
      <w:pPr>
        <w:spacing w:before="0" w:after="140" w:line="324" w:lineRule="auto"/>
        <w:ind w:firstLine="440"/>
        <w:jc w:val="both"/>
      </w:pPr>
      <w:r>
        <w:rPr>
          <w:rFonts w:ascii="Arial Unicode MS" w:hAnsi="Arial Unicode MS" w:eastAsia="Arial Unicode MS"/>
          <w:b w:val="0"/>
          <w:i w:val="0"/>
          <w:color w:val="172033"/>
          <w:sz w:val="22"/>
        </w:rPr>
        <w:t xml:space="preserve">没有一组区间支持稳定的中介关联，部分路径符号也与预设机制不同。但正确的读法不是“数据不支持 H2”，而是“数据无法对 H2 提供任何信息”。区间宽度本身就是证据：极端情绪经综合协同推广指数的间接效应点估计为 0.237，区间却是 [-1.231, 2.363]，宽度约为点估计的 15 倍。原因不在 bootstrap 设定，而在有效重抽样单位——170 行、46 个正例背后仅对应约 3 至 6 个独立泡沫 episode，以事件为单位重抽样时有效样本量约为 5。在这个量级上，任何合理的中介效应都不可能被检出。因此正确结论是三步法与 bootstrap 工作流已经跑通，而对 H2 的实质检验尚未开始。正式研究必须允许结果继续为零，甚至支持反向顺序。</w:t>
      </w:r>
    </w:p>
    <w:p>
      <w:pPr>
        <w:pStyle w:val="Heading2"/>
      </w:pPr>
      <w:r>
        <w:t>6.7 H3 的当前状态</w:t>
      </w:r>
    </w:p>
    <w:p>
      <w:pPr>
        <w:spacing w:before="0" w:after="140" w:line="324" w:lineRule="auto"/>
        <w:ind w:firstLine="440"/>
        <w:jc w:val="both"/>
      </w:pPr>
      <w:r>
        <w:rPr>
          <w:rFonts w:ascii="Arial Unicode MS" w:hAnsi="Arial Unicode MS" w:eastAsia="Arial Unicode MS"/>
          <w:b w:val="0"/>
          <w:i w:val="0"/>
          <w:color w:val="172033"/>
          <w:sz w:val="22"/>
        </w:rPr>
        <w:t>H3 尚未进行经验检验。Pilot 有市场数据和社交协调代理，但没有生产质量的实体识别交易所流向、大户余额或集中度变化。公开 whale alert 不能弥补缺口，因为它通常不能稳定识别方向或交易目的。当前对 H3 的贡献仅限于 schema、时间规则和数据接入的 go/no-go 条件。</w:t>
      </w:r>
    </w:p>
    <w:p>
      <w:pPr>
        <w:pStyle w:val="Heading2"/>
      </w:pPr>
      <w:r>
        <w:t>6.8 对正式研究的含义</w:t>
      </w:r>
    </w:p>
    <w:p>
      <w:pPr>
        <w:spacing w:before="0" w:after="140" w:line="324" w:lineRule="auto"/>
        <w:ind w:firstLine="440"/>
        <w:jc w:val="both"/>
      </w:pPr>
      <w:r>
        <w:rPr>
          <w:rFonts w:ascii="Arial Unicode MS" w:hAnsi="Arial Unicode MS" w:eastAsia="Arial Unicode MS"/>
          <w:b w:val="0"/>
          <w:i w:val="0"/>
          <w:color w:val="172033"/>
          <w:sz w:val="22"/>
        </w:rPr>
        <w:t>Pilot 支持继续推进研究方向，但应缩小证据表述。递归进入标签、社交特征工程、嵌套模型和中介代码均可运行；Reddit-only 信号过于稀疏和微弱，不适合支撑主设计；Telegram 对协调传播有信息，但不能单独代表一般散户情绪。因此，多平台策略是识别要求，而不是装饰性扩展。</w:t>
      </w:r>
    </w:p>
    <w:p>
      <w:pPr>
        <w:keepNext/>
        <w:spacing w:before="40" w:after="40"/>
        <w:jc w:val="left"/>
      </w:pPr>
      <w:r>
        <w:rPr>
          <w:rFonts w:ascii="Arial Unicode MS" w:hAnsi="Arial Unicode MS" w:eastAsia="Arial Unicode MS"/>
          <w:b/>
          <w:i w:val="0"/>
          <w:color w:val="172033"/>
          <w:sz w:val="16"/>
        </w:rPr>
        <w:t xml:space="preserve">表 10. Pilot 证据分类与正式研究响应</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2527"/>
        <w:gridCol w:w="2888"/>
        <w:gridCol w:w="2257"/>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Pilot 组件</w:t>
            </w:r>
          </w:p>
        </w:tc>
        <w:tc>
          <w:tcPr>
            <w:tcW w:type="dxa" w:w="252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已核实证据</w:t>
            </w:r>
          </w:p>
        </w:tc>
        <w:tc>
          <w:tcPr>
            <w:tcW w:type="dxa" w:w="2888"/>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合理结论</w:t>
            </w:r>
          </w:p>
        </w:tc>
        <w:tc>
          <w:tcPr>
            <w:tcW w:type="dxa" w:w="225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正式研究所需响应</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市场和 BSADF 管道</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六币和 13 币历史；strict pilot 标签</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递归标签与事件提取可运行</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提高 bootstrap、检查价格源并冻结规则</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Reddit pilot</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跨币事件窗口和滞后特征</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Reddit-only 信号可行且当前较弱</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扩大认证覆盖并按平台报告</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Telegram schema</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22,888 条消息；各 2,811 行社交和操纵特征</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消息至特征追溯链路可运行</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全历史采集、处理上限、审计作者字段并增加币种</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H1 嵌套模型</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170 行、46 正例、样本内 AUC 0.823 至 0.856</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Pilot 内可以比较变量模块</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统一标签、扩展窗口、锁定 2025 测试和事件级区间</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H2 中介</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四组间接效应区间均含 0</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 xml:space="preserve">Bootstrap 中介链路可执行；有效事件约 5 个，结果无信息而非负结果</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验证情绪与推广构念、扩大事件并做反向路径</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H3 巨鲸层</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变量和 schema 已定义</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数据需求和时间规则清楚</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估计前取得实体识别供应商/浏览器数据</w:t>
            </w:r>
          </w:p>
        </w:tc>
      </w:tr>
    </w:tbl>
    <w:p>
      <w:pPr>
        <w:spacing w:after="20"/>
      </w:pPr>
    </w:p>
    <w:p>
      <w:pPr>
        <w:spacing w:before="0" w:after="140" w:line="324" w:lineRule="auto"/>
        <w:ind w:firstLine="440"/>
        <w:jc w:val="both"/>
      </w:pPr>
      <w:r>
        <w:rPr>
          <w:rFonts w:ascii="Arial Unicode MS" w:hAnsi="Arial Unicode MS" w:eastAsia="Arial Unicode MS"/>
          <w:b w:val="0"/>
          <w:i w:val="0"/>
          <w:color w:val="172033"/>
          <w:sz w:val="22"/>
        </w:rPr>
        <w:t>已知数据质量问题包括：HBAR 公开频道存在截断风险；XRP 作者和覆盖元数据不完整；当前情绪仍为简单词典；XRP 与 ADA/HBAR 的 pilot 标签来源不同；事件窗口设计过度代表泡沫附近时期。继续从同一来源增加行数不能自动解决这些问题。正式研究必须统一标签、使用全历史抽样、报告来源覆盖并验证文本模型。</w:t>
      </w:r>
    </w:p>
    <w:p>
      <w:pPr>
        <w:pStyle w:val="Heading2"/>
      </w:pPr>
      <w:r>
        <w:t>6.9 理论贡献</w:t>
      </w:r>
    </w:p>
    <w:p>
      <w:pPr>
        <w:spacing w:before="0" w:after="140" w:line="324" w:lineRule="auto"/>
        <w:ind w:firstLine="440"/>
        <w:jc w:val="both"/>
      </w:pPr>
      <w:r>
        <w:rPr>
          <w:rFonts w:ascii="Arial Unicode MS" w:hAnsi="Arial Unicode MS" w:eastAsia="Arial Unicode MS"/>
          <w:b w:val="0"/>
          <w:i w:val="0"/>
          <w:color w:val="172033"/>
          <w:sz w:val="22"/>
        </w:rPr>
        <w:t xml:space="preserve">本节起集中列出预期贡献，第一章不再重复。理论层面的核心贡献是重新界定情绪在动态泡沫过程中的位置。基础情绪易感性、协同推广、广泛扩散、事件期极化和交易放大被视为不同阶段，而不是可互换的“市场热度”。数据可能显示情绪是初始条件、推广后的反应、缺少稳定机制的预测变量，或者在部分资产中完全无效。这样的结论比“情绪显著为正”更能检验行为金融理论的适用条件。</w:t>
      </w:r>
    </w:p>
    <w:p>
      <w:pPr>
        <w:spacing w:before="0" w:after="140" w:line="324" w:lineRule="auto"/>
        <w:ind w:firstLine="440"/>
        <w:jc w:val="both"/>
      </w:pPr>
      <w:r>
        <w:rPr>
          <w:rFonts w:ascii="Arial Unicode MS" w:hAnsi="Arial Unicode MS" w:eastAsia="Arial Unicode MS"/>
          <w:b w:val="0"/>
          <w:i w:val="0"/>
          <w:color w:val="172033"/>
          <w:sz w:val="22"/>
        </w:rPr>
        <w:t>研究还把套利限制理论延伸到传播与结算分别可见的市场。社交数据揭示叙事和扩散，市场数据反映交易响应，链上数据记录资金转移却需要经济分类。三层数据的对齐可以说明透明度在哪些环节提供信息，在哪些环节只制造表面确定性，并进一步解释为什么技术透明并不必然带来价格有效。</w:t>
      </w:r>
    </w:p>
    <w:p>
      <w:pPr>
        <w:pStyle w:val="Heading2"/>
      </w:pPr>
      <w:r>
        <w:t>6.10 经验与方法贡献</w:t>
      </w:r>
    </w:p>
    <w:p>
      <w:pPr>
        <w:spacing w:before="0" w:after="140" w:line="324" w:lineRule="auto"/>
        <w:ind w:firstLine="440"/>
        <w:jc w:val="both"/>
      </w:pPr>
      <w:r>
        <w:rPr>
          <w:rFonts w:ascii="Arial Unicode MS" w:hAnsi="Arial Unicode MS" w:eastAsia="Arial Unicode MS"/>
          <w:b w:val="0"/>
          <w:i w:val="0"/>
          <w:color w:val="172033"/>
          <w:sz w:val="22"/>
        </w:rPr>
        <w:t>论文的实证部分预计形成三个相互衔接的研究模块。H1 给出社会传播和散户情绪对未来泡沫进入的样本外预测证据；H2 报告基础情绪、协同推广与泡沫进入之间的直接和间接关系，包括不显著或反向结果；H3 在数据覆盖达到预设标准时，提供巨鲸行为的阶段效应和信号顺序检验。三个模块均报告适用币种、预测期、误报率和数据边界。</w:t>
      </w:r>
    </w:p>
    <w:p>
      <w:pPr>
        <w:spacing w:before="0" w:after="140" w:line="324" w:lineRule="auto"/>
        <w:ind w:firstLine="440"/>
        <w:jc w:val="both"/>
      </w:pPr>
      <w:r>
        <w:rPr>
          <w:rFonts w:ascii="Arial Unicode MS" w:hAnsi="Arial Unicode MS" w:eastAsia="Arial Unicode MS"/>
          <w:b w:val="0"/>
          <w:i w:val="0"/>
          <w:color w:val="172033"/>
          <w:sz w:val="22"/>
        </w:rPr>
        <w:t>经验产出首先是一套可以审计的多币种研究数据，而不是单一案例表。市场历史、GSADF/BSADF 标签、Reddit/X/Telegram 特征、协同推广代理和实体链上指标按 UTC 对齐，同时保留来源、覆盖、版本和预测时点。该结构允许其他研究者复核变量在何时可见，并区分缺失、无活动和数据截断。</w:t>
      </w:r>
    </w:p>
    <w:p>
      <w:pPr>
        <w:spacing w:before="0" w:after="140" w:line="324" w:lineRule="auto"/>
        <w:ind w:firstLine="440"/>
        <w:jc w:val="both"/>
      </w:pPr>
      <w:r>
        <w:rPr>
          <w:rFonts w:ascii="Arial Unicode MS" w:hAnsi="Arial Unicode MS" w:eastAsia="Arial Unicode MS"/>
          <w:b w:val="0"/>
          <w:i w:val="0"/>
          <w:color w:val="172033"/>
          <w:sz w:val="22"/>
        </w:rPr>
        <w:t>方法上，研究把递归泡沫标记、稀有事件 hazard、时间外预测、错位中介和事件时间序列结合在同一预分析框架中。每个模型具有不同允许表述：H1 报告预测效用，H2 报告直接和间接关联，H3 报告阶段动态和重复顺序。研究将同时报告负结果、模型不稳定、数据覆盖和误报，而不是只保留显著系数。</w:t>
      </w:r>
    </w:p>
    <w:p>
      <w:pPr>
        <w:pStyle w:val="Heading2"/>
      </w:pPr>
      <w:r>
        <w:t>6.11 实践与政策贡献</w:t>
      </w:r>
    </w:p>
    <w:p>
      <w:pPr>
        <w:spacing w:before="0" w:after="140" w:line="324" w:lineRule="auto"/>
        <w:ind w:firstLine="440"/>
        <w:jc w:val="both"/>
      </w:pPr>
      <w:r>
        <w:rPr>
          <w:rFonts w:ascii="Arial Unicode MS" w:hAnsi="Arial Unicode MS" w:eastAsia="Arial Unicode MS"/>
          <w:b w:val="0"/>
          <w:i w:val="0"/>
          <w:color w:val="172033"/>
          <w:sz w:val="22"/>
        </w:rPr>
        <w:t>此外，项目将形成一套可复核的测量和分析流程，包括泡沫标签生成、加密语境情绪标注、协调传播验证、实体链上变量构建、泄漏审计和时间外评价。面向实务部门的成果将侧重风险提示的校准、提前期和误报成本，不提供收益承诺或自动交易建议。</w:t>
      </w:r>
    </w:p>
    <w:p>
      <w:pPr>
        <w:spacing w:before="0" w:after="140" w:line="324" w:lineRule="auto"/>
        <w:ind w:firstLine="440"/>
        <w:jc w:val="both"/>
      </w:pPr>
      <w:r>
        <w:rPr>
          <w:rFonts w:ascii="Arial Unicode MS" w:hAnsi="Arial Unicode MS" w:eastAsia="Arial Unicode MS"/>
          <w:b w:val="0"/>
          <w:i w:val="0"/>
          <w:color w:val="172033"/>
          <w:sz w:val="22"/>
        </w:rPr>
        <w:t>对交易所和监管部门而言，研究比较不同信号的提前期与误报成本，识别哪些市场条件特别容易受到协调传播放大。平台可以据此提高审查强度或披露要求，但模型输出不能替代调查、法律认定或个案证据。一个吸引注意力的统计指标若未经校准，同样可能伤害正常项目和投资者。</w:t>
      </w:r>
    </w:p>
    <w:p>
      <w:pPr>
        <w:spacing w:before="0" w:after="140" w:line="324" w:lineRule="auto"/>
        <w:ind w:firstLine="440"/>
        <w:jc w:val="both"/>
      </w:pPr>
      <w:r>
        <w:rPr>
          <w:rFonts w:ascii="Arial Unicode MS" w:hAnsi="Arial Unicode MS" w:eastAsia="Arial Unicode MS"/>
          <w:b w:val="0"/>
          <w:i w:val="0"/>
          <w:color w:val="172033"/>
          <w:sz w:val="22"/>
        </w:rPr>
        <w:t>研究也为合法项目和交易平台提供反向价值。区分自然社群增长与集中重复推广，有助于改进披露、推广规范和内部监测。若严格样本外检验表明某类常见 whale alert、平均情绪或 Reddit 指标没有稳定价值，实践贡献就是减少对这类噪声预警的依赖。</w:t>
      </w:r>
    </w:p>
    <w:p>
      <w:pPr>
        <w:pStyle w:val="Heading1"/>
      </w:pPr>
      <w:r>
        <w:t>七、研究治理、可行性与限制</w:t>
      </w:r>
    </w:p>
    <w:p>
      <w:pPr>
        <w:pStyle w:val="Heading2"/>
      </w:pPr>
      <w:r>
        <w:t xml:space="preserve">7.1 公开传播数据的伦理与合规</w:t>
      </w:r>
    </w:p>
    <w:p>
      <w:pPr>
        <w:spacing w:before="0" w:after="140" w:line="324" w:lineRule="auto"/>
        <w:ind w:firstLine="440"/>
        <w:jc w:val="both"/>
      </w:pPr>
      <w:r>
        <w:rPr>
          <w:rFonts w:ascii="Arial Unicode MS" w:hAnsi="Arial Unicode MS" w:eastAsia="Arial Unicode MS"/>
          <w:b w:val="0"/>
          <w:i w:val="0"/>
          <w:color w:val="172033"/>
          <w:sz w:val="22"/>
        </w:rPr>
        <w:t>研究只使用公开社交频道以及符合平台条款的数据。未经明确授权和伦理审批，不访问私密 Telegram 或 Discord 群。用户标识替换为稳定 hash 或研究 ID；原始消息文本限制访问；可能识别个人的示例尽量不直接引用，必要时采用释义。研究对象是汇总市场行为，不对具名散户进行画像。</w:t>
      </w:r>
    </w:p>
    <w:p>
      <w:pPr>
        <w:spacing w:before="0" w:after="140" w:line="324" w:lineRule="auto"/>
        <w:ind w:firstLine="440"/>
        <w:jc w:val="both"/>
      </w:pPr>
      <w:r>
        <w:rPr>
          <w:rFonts w:ascii="Arial Unicode MS" w:hAnsi="Arial Unicode MS" w:eastAsia="Arial Unicode MS"/>
          <w:b w:val="0"/>
          <w:i w:val="0"/>
          <w:color w:val="172033"/>
          <w:sz w:val="22"/>
        </w:rPr>
        <w:t>公开可见不等于没有伦理义务。被删除内容、小型社群和稳定化名可能造成再识别风险，研究不会为了提高可复现性而公开不必要的私人属性。论文中的消息例子优先采用释义或合成文本；只有来源为官方公告且确有验证必要时，才引用可识别原文。研究目标是汇总层面的市场行为，不评估具体个人的心理或意图。</w:t>
      </w:r>
    </w:p>
    <w:p>
      <w:pPr>
        <w:spacing w:before="0" w:after="140" w:line="324" w:lineRule="auto"/>
        <w:ind w:firstLine="440"/>
        <w:jc w:val="both"/>
      </w:pPr>
      <w:r>
        <w:rPr>
          <w:rFonts w:ascii="Arial Unicode MS" w:hAnsi="Arial Unicode MS" w:eastAsia="Arial Unicode MS"/>
          <w:b w:val="0"/>
          <w:i w:val="0"/>
          <w:color w:val="172033"/>
          <w:sz w:val="22"/>
        </w:rPr>
        <w:t xml:space="preserve">合规基础在此明确，不留待执行阶段处理。第一，研究计划在设计冻结阶段向所在机构的研究伦理委员会提交审查申请；本研究只使用公开可见内容、不与数据主体互动、不进行个体层面画像，预期适用最低风险或豁免类别，但适用与否由委员会认定而非由研究者自行判断，审查结论与编号将写入正式稿。第二，社交数据中不可避免包含欧盟境内用户的内容，作者标识的 hash 化属于假名化而非匿名化，仍构成个人数据处理；本研究以科学研究目的下的正当利益为合法性基础，并援用相应的科研处理安排（欧盟《通用数据保护条例》第 89 条），配套措施包括数据最小化、访问限制、不再分发原始文本和固定保留期限。第三，涉及新加坡方的数据处理遵循《个人数据保护法》（PDPA）中关于公开可得数据与研究用途的规定。三项合规状态均记录在来源登记表中，并随平台条款变化更新。</w:t>
      </w:r>
    </w:p>
    <w:p>
      <w:pPr>
        <w:pStyle w:val="Heading2"/>
      </w:pPr>
      <w:r>
        <w:t>7.2 数据治理、可复现性与预分析控制</w:t>
      </w:r>
    </w:p>
    <w:p>
      <w:pPr>
        <w:spacing w:before="0" w:after="140" w:line="324" w:lineRule="auto"/>
        <w:ind w:firstLine="440"/>
        <w:jc w:val="both"/>
      </w:pPr>
      <w:r>
        <w:rPr>
          <w:rFonts w:ascii="Arial Unicode MS" w:hAnsi="Arial Unicode MS" w:eastAsia="Arial Unicode MS"/>
          <w:b w:val="0"/>
          <w:i w:val="0"/>
          <w:color w:val="172033"/>
          <w:sz w:val="22"/>
        </w:rPr>
        <w:t>项目保存来源清单、提取日志、checksum、schema 版本和转换代码。Raw、clean、feature 和 model 层严格分离。每个模型结果记录样本版本、预测起点、特征截止时间、标签版本、随机种子和代码归档版本。受限供应商数据不再分发；可复现包提供代码、schema、合成示例及授权用户重跑说明。</w:t>
      </w:r>
    </w:p>
    <w:p>
      <w:pPr>
        <w:spacing w:before="0" w:after="140" w:line="324" w:lineRule="auto"/>
        <w:ind w:firstLine="440"/>
        <w:jc w:val="both"/>
      </w:pPr>
      <w:r>
        <w:rPr>
          <w:rFonts w:ascii="Arial Unicode MS" w:hAnsi="Arial Unicode MS" w:eastAsia="Arial Unicode MS"/>
          <w:b w:val="0"/>
          <w:i w:val="0"/>
          <w:color w:val="172033"/>
          <w:sz w:val="22"/>
        </w:rPr>
        <w:t>保留期限和访问权限按数据类别设定。公开市场数据、hash 后的研究标识和不受限制的代码可以长期保存；带许可的链上标签和社交原文遵守合同和平台规则，不与非授权研究者共享。数据删除程序、供应商更新规则和平台条款变化均记录在来源登记表中。</w:t>
      </w:r>
    </w:p>
    <w:p>
      <w:pPr>
        <w:spacing w:before="0" w:after="140" w:line="324" w:lineRule="auto"/>
        <w:ind w:firstLine="440"/>
        <w:jc w:val="both"/>
      </w:pPr>
      <w:r>
        <w:rPr>
          <w:rFonts w:ascii="Arial Unicode MS" w:hAnsi="Arial Unicode MS" w:eastAsia="Arial Unicode MS"/>
          <w:b w:val="0"/>
          <w:i w:val="0"/>
          <w:color w:val="172033"/>
          <w:sz w:val="22"/>
        </w:rPr>
        <w:t>在打开 2025 年锁定结果前，预分析文档固定主假设、标签阈值、预测期、特征家族、分区日期、评价指标和排除规则。探索性分析将明确标记。</w:t>
      </w:r>
    </w:p>
    <w:p>
      <w:pPr>
        <w:spacing w:before="0" w:after="140" w:line="324" w:lineRule="auto"/>
        <w:ind w:firstLine="440"/>
        <w:jc w:val="both"/>
      </w:pPr>
      <w:r>
        <w:rPr>
          <w:rFonts w:ascii="Arial Unicode MS" w:hAnsi="Arial Unicode MS" w:eastAsia="Arial Unicode MS"/>
          <w:b w:val="0"/>
          <w:i w:val="0"/>
          <w:color w:val="172033"/>
          <w:sz w:val="22"/>
        </w:rPr>
        <w:t>可复现归档包含环境说明、采集 manifest、允许再分发的数据清单、schema 定义、变量字典、泄漏测试、重复记录检查、模型配置和结果登记表。每个表格和图形能够追溯到来源表、代码版本和样本 hash。失败的模型设定和空结果也进入结果登记表，减少只保存正向结果的空间。</w:t>
      </w:r>
    </w:p>
    <w:p>
      <w:pPr>
        <w:pStyle w:val="Heading2"/>
      </w:pPr>
      <w:r>
        <w:t>7.3 可行性条件与所需资源</w:t>
      </w:r>
    </w:p>
    <w:p>
      <w:pPr>
        <w:spacing w:before="0" w:after="140" w:line="324" w:lineRule="auto"/>
        <w:ind w:firstLine="440"/>
        <w:jc w:val="both"/>
      </w:pPr>
      <w:r>
        <w:rPr>
          <w:rFonts w:ascii="Arial Unicode MS" w:hAnsi="Arial Unicode MS" w:eastAsia="Arial Unicode MS"/>
          <w:b w:val="0"/>
          <w:i w:val="0"/>
          <w:color w:val="172033"/>
          <w:sz w:val="22"/>
        </w:rPr>
        <w:t>研究可行需要满足三个最低条件。第一，完成时点化市场面板和临界值稳定的正式 BSADF 标签。第二，核心样本至少具有一个广覆盖平台和一个协同信息丰富平台的充分历史。第三，只有当实体识别链上变量覆盖足够币种和泡沫事件时，H3 才作为主实证章节。</w:t>
      </w:r>
    </w:p>
    <w:p>
      <w:pPr>
        <w:spacing w:before="0" w:after="140" w:line="324" w:lineRule="auto"/>
        <w:ind w:firstLine="440"/>
        <w:jc w:val="both"/>
      </w:pPr>
      <w:r>
        <w:rPr>
          <w:rFonts w:ascii="Arial Unicode MS" w:hAnsi="Arial Unicode MS" w:eastAsia="Arial Unicode MS"/>
          <w:b w:val="0"/>
          <w:i w:val="0"/>
          <w:color w:val="172033"/>
          <w:sz w:val="22"/>
        </w:rPr>
        <w:t>现有 pilot 已经降低了技术不确定性：市场数据下载、strict 标签、Reddit 连接、Telethon 采集、clean schema、小时特征、嵌套模型和中介 bootstrap 均已经运行。剩余风险主要是历史覆盖、构念验证和外部数据许可，而不是从零开始开发方法。可行性判断因此取决于覆盖门槛能否达到，不取决于 pilot 系数是否显著。</w:t>
      </w:r>
    </w:p>
    <w:p>
      <w:pPr>
        <w:spacing w:before="0" w:after="140" w:line="324" w:lineRule="auto"/>
        <w:ind w:firstLine="440"/>
        <w:jc w:val="both"/>
      </w:pPr>
      <w:r>
        <w:rPr>
          <w:rFonts w:ascii="Arial Unicode MS" w:hAnsi="Arial Unicode MS" w:eastAsia="Arial Unicode MS"/>
          <w:b w:val="0"/>
          <w:i w:val="0"/>
          <w:color w:val="172033"/>
          <w:sz w:val="22"/>
        </w:rPr>
        <w:t xml:space="preserve">需要的支持包括：认证或许可的历史社交数据、稳定市场数据端点、存储原始消息和交易数据的空间、递归 bootstrap 和文本处理算力、人工标注人力，以及带实体标签的链上供应商或可辩护的区块浏览器替代方案。现稿只列出了资源种类而没有量级，这不足以支持可行性判断。表 11 按“量级”给出估计——不追求虚假精度，但足以说明哪些项目是预算约束、哪些是工程约束，以及每一项无法获得时论文会缩到多小。</w:t>
      </w:r>
    </w:p>
    <w:p>
      <w:pPr>
        <w:spacing w:before="0" w:after="140" w:line="324" w:lineRule="auto"/>
        <w:ind w:firstLine="440"/>
        <w:jc w:val="both"/>
      </w:pPr>
      <w:r>
        <w:rPr>
          <w:rFonts w:ascii="Arial Unicode MS" w:hAnsi="Arial Unicode MS" w:eastAsia="Arial Unicode MS"/>
          <w:b w:val="0"/>
          <w:i w:val="0"/>
          <w:color w:val="172033"/>
          <w:sz w:val="22"/>
        </w:rPr>
        <w:t xml:space="preserve">表 11. 资源需求量级与未获得时的后果</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500"/>
        <w:gridCol w:w="2750"/>
        <w:gridCol w:w="2100"/>
        <w:gridCol w:w="2676"/>
      </w:tblGrid>
      <w:tr>
        <w:trPr>
          <w:tblHeader w:val="true"/>
          <w:cantSplit/>
        </w:trPr>
        <w:tc>
          <w:tcPr>
            <w:tcW w:type="dxa" w:w="150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资源项</w:t>
            </w:r>
          </w:p>
        </w:tc>
        <w:tc>
          <w:tcPr>
            <w:tcW w:type="dxa" w:w="275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内容与规格</w:t>
            </w:r>
          </w:p>
        </w:tc>
        <w:tc>
          <w:tcPr>
            <w:tcW w:type="dxa" w:w="210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量级估计</w:t>
            </w:r>
          </w:p>
        </w:tc>
        <w:tc>
          <w:tcPr>
            <w:tcW w:type="dxa" w:w="267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 xml:space="preserve">无法获得时的后果</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历史 X / Twitter 数据</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2021-2025 全历史，按币种关键词与账号</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数万美元/年量级（Enterprise 或许可供应商）</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H1 退回 Reddit + Telegram，“广泛市场注意力”表述收窄；改用聚合社交指标作粗粒度替代</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Reddit 历史</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官方 API 用于增量，公开月度归档用于 2021-2023</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低（主要为存储与工程）</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无实质影响</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Telegram 采集</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Telethon 公开频道，管道已运行</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低（人力为主）</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无实质影响；但需解决 5,000 条上限截断</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链上实体标注</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交易所/托管/桥/质押地址标签与方向性流量</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每年数千至数万美元量级</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H3 按 go/no-go 降为有边界扩展或案例章节</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市场与微观结构</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交易所 API 加聚合源交叉校验</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低至中</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无实质影响</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存储与算力</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原始消息与交易 TB 级；BSADF ≥ 2,000 次 bootstrap × 数十币 × 多阈值</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中</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降低 bootstrap 次数会直接削弱标签稳健性，属不可接受的妥协</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人工标注</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3,000-5,000 条消息 × 2 名编码者 + 第三方裁决，含多语种</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约 2-3 人月</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情绪构念无法验证，H1b 与 H2 不可估计</w:t>
            </w:r>
          </w:p>
        </w:tc>
      </w:tr>
      <w:tr>
        <w:trPr>
          <w:cantSplit/>
        </w:trPr>
        <w:tc>
          <w:tcPr>
            <w:tcW w:type="dxa" w:w="15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文本模型推理</w:t>
            </w:r>
          </w:p>
        </w:tc>
        <w:tc>
          <w:tcPr>
            <w:tcW w:type="dxa" w:w="275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LLM 分类器对全量消息推理，需固定版本与提示词</w:t>
            </w:r>
          </w:p>
        </w:tc>
        <w:tc>
          <w:tcPr>
            <w:tcW w:type="dxa" w:w="2100"/>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中（按 token 计）</w:t>
            </w:r>
          </w:p>
        </w:tc>
        <w:tc>
          <w:tcPr>
            <w:tcW w:type="dxa" w:w="2676"/>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 xml:space="preserve">退回微调编码器或词典基准，并相应放宽结论</w:t>
            </w:r>
          </w:p>
        </w:tc>
      </w:tr>
    </w:tbl>
    <w:p>
      <w:pPr>
        <w:spacing w:before="0" w:after="140" w:line="324" w:lineRule="auto"/>
        <w:ind w:firstLine="440"/>
        <w:jc w:val="both"/>
      </w:pPr>
      <w:r>
        <w:rPr>
          <w:rFonts w:ascii="Arial Unicode MS" w:hAnsi="Arial Unicode MS" w:eastAsia="Arial Unicode MS"/>
          <w:b w:val="0"/>
          <w:i w:val="0"/>
          <w:color w:val="172033"/>
          <w:sz w:val="22"/>
        </w:rPr>
        <w:t>主要外部依赖是历史 X 数据和实体链上覆盖。Reddit 和 Telegram 可以保留为 H1/H2 的最低可行平台组合，但若 X 权限长期不足，研究必须降低对“广泛市场注意力”的表述并寻找覆盖更广的替代来源。H3 采用更严格的 go/no-go 规则，因为只有带方向和实体含义的数据才能支撑阶段解释。</w:t>
      </w:r>
    </w:p>
    <w:p>
      <w:pPr>
        <w:pStyle w:val="Heading2"/>
      </w:pPr>
      <w:r>
        <w:t>7.4 工作计划与决策门</w:t>
      </w:r>
    </w:p>
    <w:p>
      <w:pPr>
        <w:keepNext/>
        <w:spacing w:before="40" w:after="40"/>
        <w:jc w:val="left"/>
      </w:pPr>
      <w:r>
        <w:rPr>
          <w:rFonts w:ascii="Arial Unicode MS" w:hAnsi="Arial Unicode MS" w:eastAsia="Arial Unicode MS"/>
          <w:b/>
          <w:i w:val="0"/>
          <w:color w:val="172033"/>
          <w:sz w:val="16"/>
        </w:rPr>
        <w:t xml:space="preserve">表 12. 建议工作计划与决策门</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2527"/>
        <w:gridCol w:w="2888"/>
        <w:gridCol w:w="2257"/>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阶段</w:t>
            </w:r>
          </w:p>
        </w:tc>
        <w:tc>
          <w:tcPr>
            <w:tcW w:type="dxa" w:w="252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时间</w:t>
            </w:r>
          </w:p>
        </w:tc>
        <w:tc>
          <w:tcPr>
            <w:tcW w:type="dxa" w:w="2888"/>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主要任务</w:t>
            </w:r>
          </w:p>
        </w:tc>
        <w:tc>
          <w:tcPr>
            <w:tcW w:type="dxa" w:w="2257"/>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完成或决策标准</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1. 设计冻结</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2026 年 8-9 月</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固定时点化币池、来源合同、标签、假设、滞后、预测期和预分析方案</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纳入委员会修改；冻结泄漏和抽样规则</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2. 正式采集</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2026 年 9-12 月</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建设市场、Reddit/X/Telegram、元数据、事件目录和首批链上层</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覆盖报告完成；核心样本达到最低完整性</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3. 测量验证</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2026 年 11 月-2027 年 2 月</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人工标注文本，验证情绪/协同，重新 bootstrap BSADF</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文本和代理有效性达到阈值；变量冻结</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4. H1 估计</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2027 年 1-3 月</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Hazard、扩展窗口预测、异质性和 2025 锁定测试</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H1 结果与预测审计完成</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5. H2 机制</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2027 年 4-6 月</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错位中介、分块 bootstrap、KHB、反向路径和敏感性</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无论正向、为 0 或反向均完整报告</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6. H3 与整合</w:t>
            </w:r>
          </w:p>
        </w:tc>
        <w:tc>
          <w:tcPr>
            <w:tcW w:type="dxa" w:w="252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2027 年 6-8 月</w:t>
            </w:r>
          </w:p>
        </w:tc>
        <w:tc>
          <w:tcPr>
            <w:tcW w:type="dxa" w:w="2888"/>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巨鲸阶段模型、事件时间、局部投影与序列置换</w:t>
            </w:r>
          </w:p>
        </w:tc>
        <w:tc>
          <w:tcPr>
            <w:tcW w:type="dxa" w:w="2257"/>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依据实体覆盖和独立事件数作 H3 go/no-go</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7. 写作与答辩</w:t>
            </w:r>
          </w:p>
        </w:tc>
        <w:tc>
          <w:tcPr>
            <w:tcW w:type="dxa" w:w="252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2027 年 9-11 月</w:t>
            </w:r>
          </w:p>
        </w:tc>
        <w:tc>
          <w:tcPr>
            <w:tcW w:type="dxa" w:w="2888"/>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章节整合、稳健性、附录和委员会修改</w:t>
            </w:r>
          </w:p>
        </w:tc>
        <w:tc>
          <w:tcPr>
            <w:tcW w:type="dxa" w:w="2257"/>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完成实证全文草稿与可复现归档</w:t>
            </w:r>
          </w:p>
        </w:tc>
      </w:tr>
    </w:tbl>
    <w:p>
      <w:pPr>
        <w:spacing w:after="20"/>
      </w:pPr>
    </w:p>
    <w:p>
      <w:pPr>
        <w:spacing w:before="0" w:after="140" w:line="324" w:lineRule="auto"/>
        <w:ind w:firstLine="440"/>
        <w:jc w:val="both"/>
      </w:pPr>
      <w:r>
        <w:rPr>
          <w:rFonts w:ascii="Arial Unicode MS" w:hAnsi="Arial Unicode MS" w:eastAsia="Arial Unicode MS"/>
          <w:b w:val="0"/>
          <w:i w:val="0"/>
          <w:color w:val="172033"/>
          <w:sz w:val="22"/>
        </w:rPr>
        <w:t xml:space="preserve">若第二阶段结束时 H3 数据仍不足，H3 将降为有边界的扩展或案例章节，H1 和 H2 保持论文核心。该方案优于使用原始 whale alert 代替有效方向性测量。</w:t>
      </w:r>
    </w:p>
    <w:p>
      <w:pPr>
        <w:spacing w:before="0" w:after="140" w:line="324" w:lineRule="auto"/>
        <w:ind w:firstLine="440"/>
        <w:jc w:val="both"/>
      </w:pPr>
      <w:r>
        <w:rPr>
          <w:rFonts w:ascii="Arial Unicode MS" w:hAnsi="Arial Unicode MS" w:eastAsia="Arial Unicode MS"/>
          <w:b w:val="0"/>
          <w:i w:val="0"/>
          <w:color w:val="172033"/>
          <w:sz w:val="22"/>
        </w:rPr>
        <w:t xml:space="preserve">该计划需要两处现实性修正。第一，阶段 3 的测量验证与阶段 2 的正式采集存在四个月重叠，而仅多语种人工标注一项（3,000-5,000 条、双编码者、第三方裁决）就需要 2 至 3 个人月，再叠加 30-50 币 × 3 平台 × 5 年的全历史采集工程，重叠期实际上无法同时推进两项。因此在阶段 3 与阶段 4 之间增加三个月缓冲，完整草稿时间由 2027 年 11 月顺延至 2028 年一季度；若采集与标注按期完成，缓冲期用于扩展窗口预测的重复运行与稳健性补充，而不是提前进入下一阶段。</w:t>
      </w:r>
    </w:p>
    <w:p>
      <w:pPr>
        <w:spacing w:before="0" w:after="140" w:line="324" w:lineRule="auto"/>
        <w:ind w:firstLine="440"/>
        <w:jc w:val="both"/>
      </w:pPr>
      <w:r>
        <w:rPr>
          <w:rFonts w:ascii="Arial Unicode MS" w:hAnsi="Arial Unicode MS" w:eastAsia="Arial Unicode MS"/>
          <w:b w:val="0"/>
          <w:i w:val="0"/>
          <w:color w:val="172033"/>
          <w:sz w:val="22"/>
        </w:rPr>
        <w:t xml:space="preserve">第二，明确“最小可发表方案”作为总体 fallback，而不仅是 H3 的降级规则：若 X 许可与链上实体数据均无法获得，论文收缩为“Reddit + Telegram 双平台、H1 增量预测与 H2 中介关联、BTC/ETH 及主流 ERC-20 的描述性链上补充”，H3 整体转为限制与未来研究方向。该方案在设计冻结阶段即写入预分析文档，使降级成为事先规定的决策而不是事后解释。</w:t>
      </w:r>
    </w:p>
    <w:p>
      <w:pPr>
        <w:pStyle w:val="Heading2"/>
      </w:pPr>
      <w:r>
        <w:t>7.5 观测性识别与构念有效性</w:t>
      </w:r>
    </w:p>
    <w:p>
      <w:pPr>
        <w:spacing w:before="0" w:after="140" w:line="324" w:lineRule="auto"/>
        <w:ind w:firstLine="440"/>
        <w:jc w:val="both"/>
      </w:pPr>
      <w:r>
        <w:rPr>
          <w:rFonts w:ascii="Arial Unicode MS" w:hAnsi="Arial Unicode MS" w:eastAsia="Arial Unicode MS"/>
          <w:b w:val="0"/>
          <w:i w:val="0"/>
          <w:color w:val="172033"/>
          <w:sz w:val="22"/>
        </w:rPr>
        <w:t>即使严格滞后并加入丰富控制变量，仍可能存在潜在新闻、平台外协调和内生平台参与。除非另行找到可信外生冲击或准自然实验，论文不作确定性因果结论。平台中断、API 限制或外部时间确定的传播冲击可能提供识别机会，但不在开题阶段预设一定可用。</w:t>
      </w:r>
    </w:p>
    <w:p>
      <w:pPr>
        <w:spacing w:before="0" w:after="140" w:line="324" w:lineRule="auto"/>
        <w:ind w:firstLine="440"/>
        <w:jc w:val="both"/>
      </w:pPr>
      <w:r>
        <w:rPr>
          <w:rFonts w:ascii="Arial Unicode MS" w:hAnsi="Arial Unicode MS" w:eastAsia="Arial Unicode MS"/>
          <w:b w:val="0"/>
          <w:i w:val="0"/>
          <w:color w:val="172033"/>
          <w:sz w:val="22"/>
        </w:rPr>
        <w:t>事件研究和局部投影也不能自动解决共同冲击。重大新闻可能同时推动社交关注、巨鲸转账和价格加速。研究通过预趋势、反向路径、匹配非事件、非目标币和时间置换降低风险，但仍以“预测”“时间先后”或“中介关联”表述，只有额外识别条件满足时才提高因果措辞。</w:t>
      </w:r>
    </w:p>
    <w:p>
      <w:pPr>
        <w:spacing w:before="0" w:after="140" w:line="324" w:lineRule="auto"/>
        <w:ind w:firstLine="440"/>
        <w:jc w:val="both"/>
      </w:pPr>
      <w:r>
        <w:rPr>
          <w:rFonts w:ascii="Arial Unicode MS" w:hAnsi="Arial Unicode MS" w:eastAsia="Arial Unicode MS"/>
          <w:b w:val="0"/>
          <w:i w:val="0"/>
          <w:color w:val="172033"/>
          <w:sz w:val="22"/>
        </w:rPr>
        <w:t>平台用户情绪不是全部散户情绪；操纵代理测量类似协同的状态，不测量主观意图；巨鲸实体聚类并不完美；泡沫检验识别爆炸性，不是相对于已知基本价值的高估。所有构念必须按实际测量内容命名。</w:t>
      </w:r>
    </w:p>
    <w:p>
      <w:pPr>
        <w:spacing w:before="0" w:after="140" w:line="324" w:lineRule="auto"/>
        <w:ind w:firstLine="440"/>
        <w:jc w:val="both"/>
      </w:pPr>
      <w:r>
        <w:rPr>
          <w:rFonts w:ascii="Arial Unicode MS" w:hAnsi="Arial Unicode MS" w:eastAsia="Arial Unicode MS"/>
          <w:b w:val="0"/>
          <w:i w:val="0"/>
          <w:color w:val="172033"/>
          <w:sz w:val="22"/>
        </w:rPr>
        <w:t>同一代理在不同币种中的含义也可能变化。重复文本在 meme 社群中可能是正常文化表达，在小型项目中则可能来自集中推广；交易所流出可能是自托管，也可能是内部地址调整。人工标签、已知事件、匹配公告和替代供应商比较用于界定误差，但不会声称代理完全观察到潜在意图。</w:t>
      </w:r>
    </w:p>
    <w:p>
      <w:pPr>
        <w:pStyle w:val="Heading2"/>
      </w:pPr>
      <w:r>
        <w:t>7.6 样本、频率异质性与统计功效</w:t>
      </w:r>
    </w:p>
    <w:p>
      <w:pPr>
        <w:spacing w:before="0" w:after="140" w:line="324" w:lineRule="auto"/>
        <w:ind w:firstLine="440"/>
        <w:jc w:val="both"/>
      </w:pPr>
      <w:r>
        <w:rPr>
          <w:rFonts w:ascii="Arial Unicode MS" w:hAnsi="Arial Unicode MS" w:eastAsia="Arial Unicode MS"/>
          <w:b w:val="0"/>
          <w:i w:val="0"/>
          <w:color w:val="172033"/>
          <w:sz w:val="22"/>
        </w:rPr>
        <w:t>小时级适合 Telegram 爆发，但不一定适合更新较慢的链上指标。研究允许变量特定的滞后和日度稳健性，但禁止无规则向前填充。没有明确聚合规则时，不合并不兼容粒度。</w:t>
      </w:r>
    </w:p>
    <w:p>
      <w:pPr>
        <w:spacing w:before="0" w:after="140" w:line="324" w:lineRule="auto"/>
        <w:ind w:firstLine="440"/>
        <w:jc w:val="both"/>
      </w:pPr>
      <w:r>
        <w:rPr>
          <w:rFonts w:ascii="Arial Unicode MS" w:hAnsi="Arial Unicode MS" w:eastAsia="Arial Unicode MS"/>
          <w:b w:val="0"/>
          <w:i w:val="0"/>
          <w:color w:val="172033"/>
          <w:sz w:val="22"/>
        </w:rPr>
        <w:t>不同链、交易所和平台的覆盖也不会完全一致。主模型报告覆盖平衡样本、来源特定样本和扩展样本，避免某一币种因数据最丰富而支配 pooled 结论。跨币异质性有理论意义，但分组越多，多重检验和小样本风险越高，因此只保留预设维度。</w:t>
      </w:r>
    </w:p>
    <w:p>
      <w:pPr>
        <w:spacing w:before="0" w:after="140" w:line="324" w:lineRule="auto"/>
        <w:ind w:firstLine="440"/>
        <w:jc w:val="both"/>
      </w:pPr>
      <w:r>
        <w:rPr>
          <w:rFonts w:ascii="Arial Unicode MS" w:hAnsi="Arial Unicode MS" w:eastAsia="Arial Unicode MS"/>
          <w:b w:val="0"/>
          <w:i w:val="0"/>
          <w:color w:val="172033"/>
          <w:sz w:val="22"/>
        </w:rPr>
        <w:t>同一泡沫附近的多个小时正例不是独立事件。通过事件级重抽样、逐事件剔除和最低事件数规则进行控制。独立进入事件不足时，应降低模型复杂度和结论强度。</w:t>
      </w:r>
    </w:p>
    <w:p>
      <w:pPr>
        <w:spacing w:before="0" w:after="140" w:line="324" w:lineRule="auto"/>
        <w:ind w:firstLine="440"/>
        <w:jc w:val="both"/>
      </w:pPr>
      <w:r>
        <w:rPr>
          <w:rFonts w:ascii="Arial Unicode MS" w:hAnsi="Arial Unicode MS" w:eastAsia="Arial Unicode MS"/>
          <w:b w:val="0"/>
          <w:i w:val="0"/>
          <w:color w:val="172033"/>
          <w:sz w:val="22"/>
        </w:rPr>
        <w:t xml:space="preserve">大规模面板可能造成虚假的高精度。5.5 节给出了功效与独立事件数模拟的完整方案，本节只强调其约束含义：正式研究先计算独立进入次数、跨币同步程度和有效 cluster 数，再决定变量数量和交互项。功效不足不能通过复制观测行或缩短标准误解决；必要时缩小预测期家族、合并高度相关变量，或按 5.5 节的规则把部分分析预先标记为探索性。</w:t>
      </w:r>
    </w:p>
    <w:p>
      <w:pPr>
        <w:pStyle w:val="Heading2"/>
      </w:pPr>
      <w:r>
        <w:t>7.7 供应商依赖与应对规则</w:t>
      </w:r>
    </w:p>
    <w:p>
      <w:pPr>
        <w:spacing w:before="0" w:after="140" w:line="324" w:lineRule="auto"/>
        <w:ind w:firstLine="440"/>
        <w:jc w:val="both"/>
      </w:pPr>
      <w:r>
        <w:rPr>
          <w:rFonts w:ascii="Arial Unicode MS" w:hAnsi="Arial Unicode MS" w:eastAsia="Arial Unicode MS"/>
          <w:b w:val="0"/>
          <w:i w:val="0"/>
          <w:color w:val="172033"/>
          <w:sz w:val="22"/>
        </w:rPr>
        <w:t>许可的 X 和链上数据可能限制再分发。研究维护来源替代矩阵；最低可发表方案必须保证提取和转换过程可以记录，即使原始数据不能公开。</w:t>
      </w:r>
    </w:p>
    <w:p>
      <w:pPr>
        <w:spacing w:before="0" w:after="140" w:line="324" w:lineRule="auto"/>
        <w:ind w:firstLine="440"/>
        <w:jc w:val="both"/>
      </w:pPr>
      <w:r>
        <w:rPr>
          <w:rFonts w:ascii="Arial Unicode MS" w:hAnsi="Arial Unicode MS" w:eastAsia="Arial Unicode MS"/>
          <w:b w:val="0"/>
          <w:i w:val="0"/>
          <w:color w:val="172033"/>
          <w:sz w:val="22"/>
        </w:rPr>
        <w:t>若无法获得广泛历史 X 数据，H1 使用 Reddit 与 Telegram 并在适当情况下增加公开替代来源，同时明确外部有效性较窄；词典情绪只保留为透明基准。若实体识别链上覆盖不足，H3 降为有边界的比较或案例章节，而不是使用原始 whale alert 估计主效应。这些结果按设计决策报告，不作为事后挽救正向结论的措施。</w:t>
      </w:r>
    </w:p>
    <w:p>
      <w:pPr>
        <w:pStyle w:val="Heading1"/>
        <w:pageBreakBefore/>
      </w:pPr>
      <w:r>
        <w:t>参考文献</w:t>
      </w:r>
    </w:p>
    <w:p>
      <w:pPr>
        <w:spacing w:before="0" w:after="80" w:line="283" w:lineRule="auto"/>
        <w:ind w:left="397" w:hanging="397"/>
        <w:jc w:val="both"/>
      </w:pPr>
      <w:r>
        <w:rPr>
          <w:rFonts w:ascii="Arial Unicode MS" w:hAnsi="Arial Unicode MS" w:eastAsia="Arial Unicode MS"/>
          <w:b w:val="0"/>
          <w:i w:val="0"/>
          <w:color w:val="172033"/>
          <w:sz w:val="18"/>
        </w:rPr>
        <w:t xml:space="preserve">Agosto, A., Cerchiello, P., and Pagnottoni, P. (2022). Sentiment, Google queries and explosivity in the cryptocurrency market. Physica A: Statistical Mechanics and its Applications, 605, 128016. https://doi.org/10.1016/j.physa.2022.128016</w:t>
      </w:r>
    </w:p>
    <w:p>
      <w:pPr>
        <w:spacing w:before="0" w:after="80" w:line="283" w:lineRule="auto"/>
        <w:ind w:left="397" w:hanging="397"/>
        <w:jc w:val="both"/>
      </w:pPr>
      <w:r>
        <w:rPr>
          <w:rFonts w:ascii="Arial Unicode MS" w:hAnsi="Arial Unicode MS" w:eastAsia="Arial Unicode MS"/>
          <w:b w:val="0"/>
          <w:i w:val="0"/>
          <w:color w:val="172033"/>
          <w:sz w:val="18"/>
        </w:rPr>
        <w:t xml:space="preserve">Auer, R., Cornelli, G., Doerr, S., Frost, J., and Gambacorta, L. (2023). Crypto trading and Bitcoin prices: Evidence from a new database of retail adoption. BIS Working Papers, No. 1049, revised July 2023. https://www.bis.org/publ/work1049.htm</w:t>
      </w:r>
    </w:p>
    <w:p>
      <w:pPr>
        <w:spacing w:before="0" w:after="80" w:line="283" w:lineRule="auto"/>
        <w:ind w:left="397" w:hanging="397"/>
        <w:jc w:val="both"/>
      </w:pPr>
      <w:r>
        <w:rPr>
          <w:rFonts w:ascii="Arial Unicode MS" w:hAnsi="Arial Unicode MS" w:eastAsia="Arial Unicode MS"/>
          <w:b w:val="0"/>
          <w:i w:val="0"/>
          <w:color w:val="172033"/>
          <w:sz w:val="18"/>
        </w:rPr>
        <w:t xml:space="preserve">Baker, M., and Wurgler, J. (2006). Investor sentiment and the cross-section of stock returns. The Journal of Finance, 61(4), 1645-1680. https://doi.org/10.1111/j.1540-6261.2006.00885.x</w:t>
      </w:r>
    </w:p>
    <w:p>
      <w:pPr>
        <w:spacing w:before="0" w:after="80" w:line="283" w:lineRule="auto"/>
        <w:ind w:left="397" w:hanging="397"/>
        <w:jc w:val="both"/>
      </w:pPr>
      <w:r>
        <w:rPr>
          <w:rFonts w:ascii="Arial Unicode MS" w:hAnsi="Arial Unicode MS" w:eastAsia="Arial Unicode MS"/>
          <w:b w:val="0"/>
          <w:i w:val="0"/>
          <w:color w:val="172033"/>
          <w:sz w:val="18"/>
        </w:rPr>
        <w:t xml:space="preserve">Baker, M., and Wurgler, J. (2007). Investor sentiment in the stock market. Journal of Economic Perspectives, 21(2), 129-151. https://doi.org/10.1257/jep.21.2.129</w:t>
      </w:r>
    </w:p>
    <w:p>
      <w:pPr>
        <w:spacing w:before="0" w:after="80" w:line="283" w:lineRule="auto"/>
        <w:ind w:left="397" w:hanging="397"/>
        <w:jc w:val="both"/>
      </w:pPr>
      <w:r>
        <w:rPr>
          <w:rFonts w:ascii="Arial Unicode MS" w:hAnsi="Arial Unicode MS" w:eastAsia="Arial Unicode MS"/>
          <w:b w:val="0"/>
          <w:i w:val="0"/>
          <w:color w:val="172033"/>
          <w:sz w:val="18"/>
        </w:rPr>
        <w:t xml:space="preserve">Bank for International Settlements. (2025). The next-generation monetary and financial system. In BIS Annual Economic Report 2025, Chapter III. https://www.bis.org/publ/arpdf/ar2025e3.htm</w:t>
      </w:r>
    </w:p>
    <w:p>
      <w:pPr>
        <w:spacing w:before="0" w:after="80" w:line="283" w:lineRule="auto"/>
        <w:ind w:left="397" w:hanging="397"/>
        <w:jc w:val="both"/>
      </w:pPr>
      <w:r>
        <w:rPr>
          <w:rFonts w:ascii="Arial Unicode MS" w:hAnsi="Arial Unicode MS" w:eastAsia="Arial Unicode MS"/>
          <w:b w:val="0"/>
          <w:i w:val="0"/>
          <w:color w:val="172033"/>
          <w:sz w:val="18"/>
        </w:rPr>
        <w:t xml:space="preserve">Bank for International Settlements. (2026). Anchoring trust in money: Innovation beyond stablecoins. In BIS Annual Economic Report 2026, Chapter III. https://www.bis.org/publ/arpdf/ar2026e3.htm</w:t>
      </w:r>
    </w:p>
    <w:p>
      <w:pPr>
        <w:spacing w:before="0" w:after="80" w:line="283" w:lineRule="auto"/>
        <w:ind w:left="397" w:hanging="397"/>
        <w:jc w:val="both"/>
      </w:pPr>
      <w:r>
        <w:rPr>
          <w:rFonts w:ascii="Arial Unicode MS" w:hAnsi="Arial Unicode MS" w:eastAsia="Arial Unicode MS"/>
          <w:b w:val="0"/>
          <w:i w:val="0"/>
          <w:color w:val="172033"/>
          <w:sz w:val="18"/>
        </w:rPr>
        <w:t xml:space="preserve">Barber, B. M., and Odean, T. (2008). All that glitters: The effect of attention and news on the buying behavior of individual and institutional investors. The Review of Financial Studies, 21(2), 785-818. https://doi.org/10.1093/rfs/hhm079</w:t>
      </w:r>
    </w:p>
    <w:p>
      <w:pPr>
        <w:spacing w:before="0" w:after="80" w:line="283" w:lineRule="auto"/>
        <w:ind w:left="397" w:hanging="397"/>
        <w:jc w:val="both"/>
      </w:pPr>
      <w:r>
        <w:rPr>
          <w:rFonts w:ascii="Arial Unicode MS" w:hAnsi="Arial Unicode MS" w:eastAsia="Arial Unicode MS"/>
          <w:b w:val="0"/>
          <w:i w:val="0"/>
          <w:color w:val="172033"/>
          <w:sz w:val="18"/>
        </w:rPr>
        <w:t xml:space="preserve">Barberis, N., Shleifer, A., and Vishny, R. (1998). A model of investor sentiment. Journal of Financial Economics, 49(3), 307-343. https://doi.org/10.1016/S0304-405X(98)00027-0</w:t>
      </w:r>
    </w:p>
    <w:p>
      <w:pPr>
        <w:spacing w:before="0" w:after="80" w:line="283" w:lineRule="auto"/>
        <w:ind w:left="397" w:hanging="397"/>
        <w:jc w:val="both"/>
      </w:pPr>
      <w:r>
        <w:rPr>
          <w:rFonts w:ascii="Arial Unicode MS" w:hAnsi="Arial Unicode MS" w:eastAsia="Arial Unicode MS"/>
          <w:b w:val="0"/>
          <w:i w:val="0"/>
          <w:color w:val="172033"/>
          <w:sz w:val="18"/>
        </w:rPr>
        <w:t xml:space="preserve">Ben Osman, M., Galariotis, E., Guesmi, K., Hamdi, H., and Naoui, K. (2024). Are markets sentiment driving the price bubbles in the virtual? International Review of Economics &amp; Finance, 89, 272-285. https://doi.org/10.1016/j.iref.2023.10.041</w:t>
      </w:r>
    </w:p>
    <w:p>
      <w:pPr>
        <w:spacing w:before="0" w:after="80" w:line="283" w:lineRule="auto"/>
        <w:ind w:left="397" w:hanging="397"/>
        <w:jc w:val="both"/>
      </w:pPr>
      <w:r>
        <w:rPr>
          <w:rFonts w:ascii="Arial Unicode MS" w:hAnsi="Arial Unicode MS" w:eastAsia="Arial Unicode MS"/>
          <w:b w:val="0"/>
          <w:i w:val="0"/>
          <w:color w:val="172033"/>
          <w:sz w:val="18"/>
        </w:rPr>
        <w:t xml:space="preserve">Benedetti, H., and Rodriguez-Garnica, G. (2025). Does what happens on-chain stays on-chain? The dynamics of blockchain token transactions and prices. Journal of International Money and Finance, 158, 103408. https://doi.org/10.1016/j.jimonfin.2025.103408</w:t>
      </w:r>
    </w:p>
    <w:p>
      <w:pPr>
        <w:spacing w:before="0" w:after="80" w:line="283" w:lineRule="auto"/>
        <w:ind w:left="397" w:hanging="397"/>
        <w:jc w:val="both"/>
      </w:pPr>
      <w:r>
        <w:rPr>
          <w:rFonts w:ascii="Arial Unicode MS" w:hAnsi="Arial Unicode MS" w:eastAsia="Arial Unicode MS"/>
          <w:b w:val="0"/>
          <w:i w:val="0"/>
          <w:color w:val="172033"/>
          <w:sz w:val="18"/>
        </w:rPr>
        <w:t xml:space="preserve">Bollen, J., Mao, H., and Zeng, X. (2011). Twitter mood predicts the stock market. Journal of Computational Science, 2(1), 1-8. https://doi.org/10.1016/j.jocs.2010.12.007</w:t>
      </w:r>
    </w:p>
    <w:p>
      <w:pPr>
        <w:spacing w:before="0" w:after="80" w:line="283" w:lineRule="auto"/>
        <w:ind w:left="397" w:hanging="397"/>
        <w:jc w:val="both"/>
      </w:pPr>
      <w:r>
        <w:rPr>
          <w:rFonts w:ascii="Arial Unicode MS" w:hAnsi="Arial Unicode MS" w:eastAsia="Arial Unicode MS"/>
          <w:b w:val="0"/>
          <w:i w:val="0"/>
          <w:color w:val="172033"/>
          <w:sz w:val="18"/>
        </w:rPr>
        <w:t xml:space="preserve">Catalini, C., and Gans, J. S. (2020). Some simple economics of the blockchain. Communications of the ACM, 63(7), 80-90. https://doi.org/10.1145/3359552</w:t>
      </w:r>
    </w:p>
    <w:p>
      <w:pPr>
        <w:spacing w:before="0" w:after="80" w:line="283" w:lineRule="auto"/>
        <w:ind w:left="397" w:hanging="397"/>
        <w:jc w:val="both"/>
      </w:pPr>
      <w:r>
        <w:rPr>
          <w:rFonts w:ascii="Arial Unicode MS" w:hAnsi="Arial Unicode MS" w:eastAsia="Arial Unicode MS"/>
          <w:b w:val="0"/>
          <w:i w:val="0"/>
          <w:color w:val="172033"/>
          <w:sz w:val="18"/>
        </w:rPr>
        <w:t xml:space="preserve">Cheah, E.-T., and Fry, J. (2015). Speculative bubbles in Bitcoin markets? An empirical investigation into the fundamental value of Bitcoin. Economics Letters, 130, 32-36. https://doi.org/10.1016/j.econlet.2015.02.029</w:t>
      </w:r>
    </w:p>
    <w:p>
      <w:pPr>
        <w:spacing w:before="0" w:after="80" w:line="283" w:lineRule="auto"/>
        <w:ind w:left="397" w:hanging="397"/>
        <w:jc w:val="both"/>
      </w:pPr>
      <w:r>
        <w:rPr>
          <w:rFonts w:ascii="Arial Unicode MS" w:hAnsi="Arial Unicode MS" w:eastAsia="Arial Unicode MS"/>
          <w:b w:val="0"/>
          <w:i w:val="0"/>
          <w:color w:val="172033"/>
          <w:sz w:val="18"/>
        </w:rPr>
        <w:t xml:space="preserve">Cong, L. W., Li, X., Tang, K., and Yang, Y. (2023). Crypto wash trading. Management Science, 69(11), 6427-6454. https://doi.org/10.1287/mnsc.2021.4310</w:t>
      </w:r>
    </w:p>
    <w:p>
      <w:pPr>
        <w:spacing w:before="0" w:after="80" w:line="283" w:lineRule="auto"/>
        <w:ind w:left="397" w:hanging="397"/>
        <w:jc w:val="both"/>
      </w:pPr>
      <w:r>
        <w:rPr>
          <w:rFonts w:ascii="Arial Unicode MS" w:hAnsi="Arial Unicode MS" w:eastAsia="Arial Unicode MS"/>
          <w:b w:val="0"/>
          <w:i w:val="0"/>
          <w:color w:val="172033"/>
          <w:sz w:val="18"/>
        </w:rPr>
        <w:t xml:space="preserve">Cong, L. W., Li, Y., and Wang, N. (2021). Tokenomics: Dynamic adoption and valuation. The Review of Financial Studies, 34(3), 1105-1155. https://doi.org/10.1093/rfs/hhaa014</w:t>
      </w:r>
    </w:p>
    <w:p>
      <w:pPr>
        <w:spacing w:before="0" w:after="80" w:line="283" w:lineRule="auto"/>
        <w:ind w:left="397" w:hanging="397"/>
        <w:jc w:val="both"/>
      </w:pPr>
      <w:r>
        <w:rPr>
          <w:rFonts w:ascii="Arial Unicode MS" w:hAnsi="Arial Unicode MS" w:eastAsia="Arial Unicode MS"/>
          <w:b w:val="0"/>
          <w:i w:val="0"/>
          <w:color w:val="172033"/>
          <w:sz w:val="18"/>
        </w:rPr>
        <w:t xml:space="preserve">Da, Z., Engelberg, J., and Gao, P. (2011). In search of attention. The Journal of Finance, 66(5), 1461-1499. https://doi.org/10.1111/j.1540-6261.2011.01679.x</w:t>
      </w:r>
    </w:p>
    <w:p>
      <w:pPr>
        <w:spacing w:before="0" w:after="80" w:line="283" w:lineRule="auto"/>
        <w:ind w:left="397" w:hanging="397"/>
        <w:jc w:val="both"/>
      </w:pPr>
      <w:r>
        <w:rPr>
          <w:rFonts w:ascii="Arial Unicode MS" w:hAnsi="Arial Unicode MS" w:eastAsia="Arial Unicode MS"/>
          <w:b w:val="0"/>
          <w:i w:val="0"/>
          <w:color w:val="172033"/>
          <w:sz w:val="18"/>
        </w:rPr>
        <w:t xml:space="preserve">De Long, J. B., Shleifer, A., Summers, L. H., and Waldmann, R. J. (1990). Noise trader risk in financial markets. Journal of Political Economy, 98(4), 703-738. https://doi.org/10.1086/261703</w:t>
      </w:r>
    </w:p>
    <w:p>
      <w:pPr>
        <w:spacing w:before="0" w:after="80" w:line="283" w:lineRule="auto"/>
        <w:ind w:left="397" w:hanging="397"/>
        <w:jc w:val="both"/>
      </w:pPr>
      <w:r>
        <w:rPr>
          <w:rFonts w:ascii="Arial Unicode MS" w:hAnsi="Arial Unicode MS" w:eastAsia="Arial Unicode MS"/>
          <w:b w:val="0"/>
          <w:i w:val="0"/>
          <w:color w:val="172033"/>
          <w:sz w:val="18"/>
        </w:rPr>
        <w:t xml:space="preserve">Dhawan, A., and Putnins, T. J. (2023). A new wolf in town? Pump-and-dump manipulation in cryptocurrency markets. Review of Finance, 27(3), 935-975. https://doi.org/10.1093/rof/rfac051</w:t>
      </w:r>
    </w:p>
    <w:p>
      <w:pPr>
        <w:spacing w:before="0" w:after="80" w:line="283" w:lineRule="auto"/>
        <w:ind w:left="397" w:hanging="397"/>
        <w:jc w:val="both"/>
      </w:pPr>
      <w:r>
        <w:rPr>
          <w:rFonts w:ascii="Arial Unicode MS" w:hAnsi="Arial Unicode MS" w:eastAsia="Arial Unicode MS"/>
          <w:b w:val="0"/>
          <w:i w:val="0"/>
          <w:color w:val="172033"/>
          <w:sz w:val="18"/>
        </w:rPr>
        <w:t xml:space="preserve">European Parliament and Council of the European Union. (2023). Regulation (EU) 2023/1114 on markets in crypto-assets. Official Journal of the European Union, L 150, 40-205. https://eur-lex.europa.eu/eli/reg/2023/1114/oj</w:t>
      </w:r>
    </w:p>
    <w:p>
      <w:pPr>
        <w:spacing w:before="0" w:after="80" w:line="283" w:lineRule="auto"/>
        <w:ind w:left="397" w:hanging="397"/>
        <w:jc w:val="both"/>
      </w:pPr>
      <w:r>
        <w:rPr>
          <w:rFonts w:ascii="Arial Unicode MS" w:hAnsi="Arial Unicode MS" w:eastAsia="Arial Unicode MS"/>
          <w:b w:val="0"/>
          <w:i w:val="0"/>
          <w:color w:val="172033"/>
          <w:sz w:val="18"/>
        </w:rPr>
        <w:t xml:space="preserve">Financial Stability Board. (2025). Thematic Review on FSB Global Regulatory Framework for Crypto-asset Activities. https://www.fsb.org/2025/10/thematic-review-on-fsb-global-regulatory-framework-for-crypto-asset-activities/</w:t>
      </w:r>
    </w:p>
    <w:p>
      <w:pPr>
        <w:spacing w:before="0" w:after="80" w:line="283" w:lineRule="auto"/>
        <w:ind w:left="397" w:hanging="397"/>
        <w:jc w:val="both"/>
      </w:pPr>
      <w:r>
        <w:rPr>
          <w:rFonts w:ascii="Arial Unicode MS" w:hAnsi="Arial Unicode MS" w:eastAsia="Arial Unicode MS"/>
          <w:b w:val="0"/>
          <w:i w:val="0"/>
          <w:color w:val="172033"/>
          <w:sz w:val="18"/>
        </w:rPr>
        <w:t xml:space="preserve">Foley, S., Karlsen, J. R., and Putnins, T. J. (2019). Sex, drugs, and bitcoin: How much illegal activity is financed through cryptocurrencies? The Review of Financial Studies, 32(5), 1798-1853. https://doi.org/10.1093/rfs/hhz015</w:t>
      </w:r>
    </w:p>
    <w:p>
      <w:pPr>
        <w:spacing w:before="0" w:after="80" w:line="283" w:lineRule="auto"/>
        <w:ind w:left="397" w:hanging="397"/>
        <w:jc w:val="both"/>
      </w:pPr>
      <w:r>
        <w:rPr>
          <w:rFonts w:ascii="Arial Unicode MS" w:hAnsi="Arial Unicode MS" w:eastAsia="Arial Unicode MS"/>
          <w:b w:val="0"/>
          <w:i w:val="0"/>
          <w:color w:val="172033"/>
          <w:sz w:val="18"/>
        </w:rPr>
        <w:t xml:space="preserve">Gandal, N., Hamrick, J. T., Moore, T., and Oberman, T. (2018). Price manipulation in the Bitcoin ecosystem. Journal of Monetary Economics, 95, 86-96. https://doi.org/10.1016/j.jmoneco.2017.12.004</w:t>
      </w:r>
    </w:p>
    <w:p>
      <w:pPr>
        <w:spacing w:before="0" w:after="80" w:line="283" w:lineRule="auto"/>
        <w:ind w:left="397" w:hanging="397"/>
        <w:jc w:val="both"/>
      </w:pPr>
      <w:r>
        <w:rPr>
          <w:rFonts w:ascii="Arial Unicode MS" w:hAnsi="Arial Unicode MS" w:eastAsia="Arial Unicode MS"/>
          <w:b w:val="0"/>
          <w:i w:val="0"/>
          <w:color w:val="172033"/>
          <w:sz w:val="18"/>
        </w:rPr>
        <w:t xml:space="preserve">Griffin, J. M., and Shams, A. (2020). Is Bitcoin really untethered? The Journal of Finance, 75(4), 1913-1964. https://doi.org/10.1111/jofi.12903</w:t>
      </w:r>
    </w:p>
    <w:p>
      <w:pPr>
        <w:spacing w:before="0" w:after="80" w:line="283" w:lineRule="auto"/>
        <w:ind w:left="397" w:hanging="397"/>
        <w:jc w:val="both"/>
      </w:pPr>
      <w:r>
        <w:rPr>
          <w:rFonts w:ascii="Arial Unicode MS" w:hAnsi="Arial Unicode MS" w:eastAsia="Arial Unicode MS"/>
          <w:b w:val="0"/>
          <w:i w:val="0"/>
          <w:color w:val="172033"/>
          <w:sz w:val="18"/>
        </w:rPr>
        <w:t xml:space="preserve">Guegan, D., and Renault, T. (2021). Does investor sentiment on social media provide robust information for Bitcoin returns predictability? Finance Research Letters, 38, 101494. https://doi.org/10.1016/j.frl.2020.101494</w:t>
      </w:r>
    </w:p>
    <w:p>
      <w:pPr>
        <w:spacing w:before="0" w:after="80" w:line="283" w:lineRule="auto"/>
        <w:ind w:left="397" w:hanging="397"/>
        <w:jc w:val="both"/>
      </w:pPr>
      <w:r>
        <w:rPr>
          <w:rFonts w:ascii="Arial Unicode MS" w:hAnsi="Arial Unicode MS" w:eastAsia="Arial Unicode MS"/>
          <w:b w:val="0"/>
          <w:i w:val="0"/>
          <w:color w:val="172033"/>
          <w:sz w:val="18"/>
        </w:rPr>
        <w:t xml:space="preserve">Hamrick, J. T., Rouhi, F., Mukherjee, A., Feder, A., Gandal, N., Moore, T., and Vasek, M. (2021). An examination of the cryptocurrency pump-and-dump ecosystem. Information Processing &amp; Management, 58(4), 102506. https://doi.org/10.1016/j.ipm.2021.102506</w:t>
      </w:r>
    </w:p>
    <w:p>
      <w:pPr>
        <w:spacing w:before="0" w:after="80" w:line="283" w:lineRule="auto"/>
        <w:ind w:left="397" w:hanging="397"/>
        <w:jc w:val="both"/>
      </w:pPr>
      <w:r>
        <w:rPr>
          <w:rFonts w:ascii="Arial Unicode MS" w:hAnsi="Arial Unicode MS" w:eastAsia="Arial Unicode MS"/>
          <w:b w:val="0"/>
          <w:i w:val="0"/>
          <w:color w:val="172033"/>
          <w:sz w:val="18"/>
        </w:rPr>
        <w:t xml:space="preserve">Imai, K., Keele, L., and Tingley, D. (2010). A general approach to causal mediation analysis. Psychological Methods, 15(4), 309-334. https://doi.org/10.1037/a0020761</w:t>
      </w:r>
    </w:p>
    <w:p>
      <w:pPr>
        <w:spacing w:before="0" w:after="80" w:line="283" w:lineRule="auto"/>
        <w:ind w:left="397" w:hanging="397"/>
        <w:jc w:val="both"/>
      </w:pPr>
      <w:r>
        <w:rPr>
          <w:rFonts w:ascii="Arial Unicode MS" w:hAnsi="Arial Unicode MS" w:eastAsia="Arial Unicode MS"/>
          <w:b w:val="0"/>
          <w:i w:val="0"/>
          <w:color w:val="172033"/>
          <w:sz w:val="18"/>
        </w:rPr>
        <w:t xml:space="preserve">International Organization of Securities Commissions. (2023). Policy Recommendations for Crypto and Digital Asset Markets: Final Report (FR11/23). https://www.iosco.org/library/pubdocs/pdf/IOSCOPD747.pdf</w:t>
      </w:r>
    </w:p>
    <w:p>
      <w:pPr>
        <w:spacing w:before="0" w:after="80" w:line="283" w:lineRule="auto"/>
        <w:ind w:left="397" w:hanging="397"/>
        <w:jc w:val="both"/>
      </w:pPr>
      <w:r>
        <w:rPr>
          <w:rFonts w:ascii="Arial Unicode MS" w:hAnsi="Arial Unicode MS" w:eastAsia="Arial Unicode MS"/>
          <w:b w:val="0"/>
          <w:i w:val="0"/>
          <w:color w:val="172033"/>
          <w:sz w:val="18"/>
        </w:rPr>
        <w:t xml:space="preserve">Kamps, J., and Kleinberg, B. (2018). To the moon: Defining and detecting cryptocurrency pump-and-dumps. Crime Science, 7, 18. https://doi.org/10.1186/s40163-018-0093-5</w:t>
      </w:r>
    </w:p>
    <w:p>
      <w:pPr>
        <w:spacing w:before="0" w:after="80" w:line="283" w:lineRule="auto"/>
        <w:ind w:left="397" w:hanging="397"/>
        <w:jc w:val="both"/>
      </w:pPr>
      <w:r>
        <w:rPr>
          <w:rFonts w:ascii="Arial Unicode MS" w:hAnsi="Arial Unicode MS" w:eastAsia="Arial Unicode MS"/>
          <w:b w:val="0"/>
          <w:i w:val="0"/>
          <w:color w:val="172033"/>
          <w:sz w:val="18"/>
        </w:rPr>
        <w:t xml:space="preserve">Karlson, K. B., Holm, A., and Breen, R. (2012). Comparing regression coefficients between same-sample nested models using logit and probit: A new method. Sociological Methodology, 42(1), 286-313. https://doi.org/10.1177/0081175012444861</w:t>
      </w:r>
    </w:p>
    <w:p>
      <w:pPr>
        <w:spacing w:before="0" w:after="80" w:line="283" w:lineRule="auto"/>
        <w:ind w:left="397" w:hanging="397"/>
        <w:jc w:val="both"/>
      </w:pPr>
      <w:r>
        <w:rPr>
          <w:rFonts w:ascii="Arial Unicode MS" w:hAnsi="Arial Unicode MS" w:eastAsia="Arial Unicode MS"/>
          <w:b w:val="0"/>
          <w:i w:val="0"/>
          <w:color w:val="172033"/>
          <w:sz w:val="18"/>
        </w:rPr>
        <w:t xml:space="preserve">Kogan, S., Makarov, I., Niessner, M., and Schoar, A. (2024). Are cryptos different? Evidence from retail trading. Journal of Financial Economics, 159, 103897. https://doi.org/10.1016/j.jfineco.2024.103897</w:t>
      </w:r>
    </w:p>
    <w:p>
      <w:pPr>
        <w:spacing w:before="0" w:after="80" w:line="283" w:lineRule="auto"/>
        <w:ind w:left="397" w:hanging="397"/>
        <w:jc w:val="both"/>
      </w:pPr>
      <w:r>
        <w:rPr>
          <w:rFonts w:ascii="Arial Unicode MS" w:hAnsi="Arial Unicode MS" w:eastAsia="Arial Unicode MS"/>
          <w:b w:val="0"/>
          <w:i w:val="0"/>
          <w:color w:val="172033"/>
          <w:sz w:val="18"/>
        </w:rPr>
        <w:t xml:space="preserve">Kraaijeveld, O., and De Smedt, J. (2020). The predictive power of public Twitter sentiment for forecasting cryptocurrency prices. Journal of International Financial Markets, Institutions and Money, 65, 101188. https://doi.org/10.1016/j.intfin.2020.101188</w:t>
      </w:r>
    </w:p>
    <w:p>
      <w:pPr>
        <w:spacing w:before="0" w:after="80" w:line="283" w:lineRule="auto"/>
        <w:ind w:left="397" w:hanging="397"/>
        <w:jc w:val="both"/>
      </w:pPr>
      <w:r>
        <w:rPr>
          <w:rFonts w:ascii="Arial Unicode MS" w:hAnsi="Arial Unicode MS" w:eastAsia="Arial Unicode MS"/>
          <w:b w:val="0"/>
          <w:i w:val="0"/>
          <w:color w:val="172033"/>
          <w:sz w:val="18"/>
        </w:rPr>
        <w:t xml:space="preserve">La Morgia, M., Mei, A., Sassi, F., and Stefa, J. (2023). The doge of Wall Street: Analysis and detection of pump and dump cryptocurrency manipulations. ACM Transactions on Internet Technology, 23(1), 1-28. https://doi.org/10.1145/3561300</w:t>
      </w:r>
    </w:p>
    <w:p>
      <w:pPr>
        <w:spacing w:before="0" w:after="80" w:line="283" w:lineRule="auto"/>
        <w:ind w:left="397" w:hanging="397"/>
        <w:jc w:val="both"/>
      </w:pPr>
      <w:r>
        <w:rPr>
          <w:rFonts w:ascii="Arial Unicode MS" w:hAnsi="Arial Unicode MS" w:eastAsia="Arial Unicode MS"/>
          <w:b w:val="0"/>
          <w:i w:val="0"/>
          <w:color w:val="172033"/>
          <w:sz w:val="18"/>
        </w:rPr>
        <w:t xml:space="preserve">Le Pennec, G., Fiedler, I., and Ante, L. (2021). Wash trading at cryptocurrency exchanges. Finance Research Letters, 43, 101982. https://doi.org/10.1016/j.frl.2021.101982</w:t>
      </w:r>
    </w:p>
    <w:p>
      <w:pPr>
        <w:spacing w:before="0" w:after="80" w:line="283" w:lineRule="auto"/>
        <w:ind w:left="397" w:hanging="397"/>
        <w:jc w:val="both"/>
      </w:pPr>
      <w:r>
        <w:rPr>
          <w:rFonts w:ascii="Arial Unicode MS" w:hAnsi="Arial Unicode MS" w:eastAsia="Arial Unicode MS"/>
          <w:b w:val="0"/>
          <w:i w:val="0"/>
          <w:color w:val="172033"/>
          <w:sz w:val="18"/>
        </w:rPr>
        <w:t xml:space="preserve">Li, S., and Ma, J. (2024). The impact of sentiment and engagement of Twitter posts on cryptocurrency price movement. Finance Research Letters, 65, 105598. https://doi.org/10.1016/j.frl.2024.105598</w:t>
      </w:r>
    </w:p>
    <w:p>
      <w:pPr>
        <w:spacing w:before="0" w:after="80" w:line="283" w:lineRule="auto"/>
        <w:ind w:left="397" w:hanging="397"/>
        <w:jc w:val="both"/>
      </w:pPr>
      <w:r>
        <w:rPr>
          <w:rFonts w:ascii="Arial Unicode MS" w:hAnsi="Arial Unicode MS" w:eastAsia="Arial Unicode MS"/>
          <w:b w:val="0"/>
          <w:i w:val="0"/>
          <w:color w:val="172033"/>
          <w:sz w:val="18"/>
        </w:rPr>
        <w:t xml:space="preserve">Liu, Y., and Tsyvinski, A. (2021). Risks and returns of cryptocurrency. The Review of Financial Studies, 34(6), 2689-2727. https://doi.org/10.1093/rfs/hhaa113</w:t>
      </w:r>
    </w:p>
    <w:p>
      <w:pPr>
        <w:spacing w:before="0" w:after="80" w:line="283" w:lineRule="auto"/>
        <w:ind w:left="397" w:hanging="397"/>
        <w:jc w:val="both"/>
      </w:pPr>
      <w:r>
        <w:rPr>
          <w:rFonts w:ascii="Arial Unicode MS" w:hAnsi="Arial Unicode MS" w:eastAsia="Arial Unicode MS"/>
          <w:b w:val="0"/>
          <w:i w:val="0"/>
          <w:color w:val="172033"/>
          <w:sz w:val="18"/>
        </w:rPr>
        <w:t xml:space="preserve">Liu, Y., Tsyvinski, A., and Wu, X. (2022). Common risk factors in cryptocurrency. The Journal of Finance, 77(2), 1133-1177. https://doi.org/10.1111/jofi.13119</w:t>
      </w:r>
    </w:p>
    <w:p>
      <w:pPr>
        <w:spacing w:before="0" w:after="80" w:line="283" w:lineRule="auto"/>
        <w:ind w:left="397" w:hanging="397"/>
        <w:jc w:val="both"/>
      </w:pPr>
      <w:r>
        <w:rPr>
          <w:rFonts w:ascii="Arial Unicode MS" w:hAnsi="Arial Unicode MS" w:eastAsia="Arial Unicode MS"/>
          <w:b w:val="0"/>
          <w:i w:val="0"/>
          <w:color w:val="172033"/>
          <w:sz w:val="18"/>
        </w:rPr>
        <w:t xml:space="preserve">Magner, N., and Sanhueza, A. (2025). The Moby Dick effect: Contagious Bitcoin whales in the crypto market. Finance Research Letters, 85, 107906. https://doi.org/10.1016/j.frl.2025.107906</w:t>
      </w:r>
    </w:p>
    <w:p>
      <w:pPr>
        <w:spacing w:before="0" w:after="80" w:line="283" w:lineRule="auto"/>
        <w:ind w:left="397" w:hanging="397"/>
        <w:jc w:val="both"/>
      </w:pPr>
      <w:r>
        <w:rPr>
          <w:rFonts w:ascii="Arial Unicode MS" w:hAnsi="Arial Unicode MS" w:eastAsia="Arial Unicode MS"/>
          <w:b w:val="0"/>
          <w:i w:val="0"/>
          <w:color w:val="172033"/>
          <w:sz w:val="18"/>
        </w:rPr>
        <w:t xml:space="preserve">Mai, F., Shan, Z., Bai, Q., Wang, X., and Chiang, R. H. L. (2018). How does social media impact Bitcoin value? A test of the silent majority hypothesis. Journal of Management Information Systems, 35(1), 19-52. https://doi.org/10.1080/07421222.2018.1440774</w:t>
      </w:r>
    </w:p>
    <w:p>
      <w:pPr>
        <w:spacing w:before="0" w:after="80" w:line="283" w:lineRule="auto"/>
        <w:ind w:left="397" w:hanging="397"/>
        <w:jc w:val="both"/>
      </w:pPr>
      <w:r>
        <w:rPr>
          <w:rFonts w:ascii="Arial Unicode MS" w:hAnsi="Arial Unicode MS" w:eastAsia="Arial Unicode MS"/>
          <w:b w:val="0"/>
          <w:i w:val="0"/>
          <w:color w:val="172033"/>
          <w:sz w:val="18"/>
        </w:rPr>
        <w:t xml:space="preserve">Makarov, I., and Schoar, A. (2020). Trading and arbitrage in cryptocurrency markets. Journal of Financial Economics, 135(2), 293-319. https://doi.org/10.1016/j.jfineco.2019.07.001</w:t>
      </w:r>
    </w:p>
    <w:p>
      <w:pPr>
        <w:spacing w:before="0" w:after="80" w:line="283" w:lineRule="auto"/>
        <w:ind w:left="397" w:hanging="397"/>
        <w:jc w:val="both"/>
      </w:pPr>
      <w:r>
        <w:rPr>
          <w:rFonts w:ascii="Arial Unicode MS" w:hAnsi="Arial Unicode MS" w:eastAsia="Arial Unicode MS"/>
          <w:b w:val="0"/>
          <w:i w:val="0"/>
          <w:color w:val="172033"/>
          <w:sz w:val="18"/>
        </w:rPr>
        <w:t xml:space="preserve">Makarov, I., and Schoar, A. (2021). Blockchain analysis of the Bitcoin market. MIT Sloan Working Paper 6479-21 / NBER Working Paper 29396. https://doi.org/10.3386/w29396</w:t>
      </w:r>
    </w:p>
    <w:p>
      <w:pPr>
        <w:spacing w:before="0" w:after="80" w:line="283" w:lineRule="auto"/>
        <w:ind w:left="397" w:hanging="397"/>
        <w:jc w:val="both"/>
      </w:pPr>
      <w:r>
        <w:rPr>
          <w:rFonts w:ascii="Arial Unicode MS" w:hAnsi="Arial Unicode MS" w:eastAsia="Arial Unicode MS"/>
          <w:b w:val="0"/>
          <w:i w:val="0"/>
          <w:color w:val="172033"/>
          <w:sz w:val="18"/>
        </w:rPr>
        <w:t xml:space="preserve">Mirtaheri, M., Abu-El-Haija, S., Morstatter, F., Ver Steeg, G., and Galstyan, A. (2021). Identifying and analyzing cryptocurrency manipulations in social media. IEEE Transactions on Computational Social Systems, 8(3), 607-617. https://doi.org/10.1109/TCSS.2021.3059286</w:t>
      </w:r>
    </w:p>
    <w:p>
      <w:pPr>
        <w:spacing w:before="0" w:after="80" w:line="283" w:lineRule="auto"/>
        <w:ind w:left="397" w:hanging="397"/>
        <w:jc w:val="both"/>
      </w:pPr>
      <w:r>
        <w:rPr>
          <w:rFonts w:ascii="Arial Unicode MS" w:hAnsi="Arial Unicode MS" w:eastAsia="Arial Unicode MS"/>
          <w:b w:val="0"/>
          <w:i w:val="0"/>
          <w:color w:val="172033"/>
          <w:sz w:val="18"/>
        </w:rPr>
        <w:t xml:space="preserve">Phillips, P. C. B., and Shi, S. (2020). Real time monitoring of asset markets: Bubbles and crises. In H. D. Vinod and C. R. Rao (Eds.), Handbook of Statistics, Vol. 42: Financial, Macro and Micro Econometrics Using R (pp. 61-80). Elsevier. https://doi.org/10.1016/bs.host.2018.12.002</w:t>
      </w:r>
    </w:p>
    <w:p>
      <w:pPr>
        <w:spacing w:before="0" w:after="80" w:line="283" w:lineRule="auto"/>
        <w:ind w:left="397" w:hanging="397"/>
        <w:jc w:val="both"/>
      </w:pPr>
      <w:r>
        <w:rPr>
          <w:rFonts w:ascii="Arial Unicode MS" w:hAnsi="Arial Unicode MS" w:eastAsia="Arial Unicode MS"/>
          <w:b w:val="0"/>
          <w:i w:val="0"/>
          <w:color w:val="172033"/>
          <w:sz w:val="18"/>
        </w:rPr>
        <w:t xml:space="preserve">Phillips, P. C. B., Shi, S., and Yu, J. (2015a). Testing for multiple bubbles: Historical episodes of exuberance and collapse in the S&amp;P 500. International Economic Review, 56(4), 1043-1078. https://doi.org/10.1111/iere.12132</w:t>
      </w:r>
    </w:p>
    <w:p>
      <w:pPr>
        <w:spacing w:before="0" w:after="80" w:line="283" w:lineRule="auto"/>
        <w:ind w:left="397" w:hanging="397"/>
        <w:jc w:val="both"/>
      </w:pPr>
      <w:r>
        <w:rPr>
          <w:rFonts w:ascii="Arial Unicode MS" w:hAnsi="Arial Unicode MS" w:eastAsia="Arial Unicode MS"/>
          <w:b w:val="0"/>
          <w:i w:val="0"/>
          <w:color w:val="172033"/>
          <w:sz w:val="18"/>
        </w:rPr>
        <w:t xml:space="preserve">Phillips, P. C. B., Shi, S., and Yu, J. (2015b). Testing for multiple bubbles: Limit theory of real-time detectors. International Economic Review, 56(4), 1079-1134. https://doi.org/10.1111/iere.12131</w:t>
      </w:r>
    </w:p>
    <w:p>
      <w:pPr>
        <w:spacing w:before="0" w:after="80" w:line="283" w:lineRule="auto"/>
        <w:ind w:left="397" w:hanging="397"/>
        <w:jc w:val="both"/>
      </w:pPr>
      <w:r>
        <w:rPr>
          <w:rFonts w:ascii="Arial Unicode MS" w:hAnsi="Arial Unicode MS" w:eastAsia="Arial Unicode MS"/>
          <w:b w:val="0"/>
          <w:i w:val="0"/>
          <w:color w:val="172033"/>
          <w:sz w:val="18"/>
        </w:rPr>
        <w:t xml:space="preserve">Saggu, A. (2022). The intraday Bitcoin response to Tether minting and burning events: Asymmetry, investor sentiment, and "Whale Alerts" on Twitter. Finance Research Letters, 49, 103096. https://doi.org/10.1016/j.frl.2022.103096</w:t>
      </w:r>
    </w:p>
    <w:p>
      <w:pPr>
        <w:spacing w:before="0" w:after="80" w:line="283" w:lineRule="auto"/>
        <w:ind w:left="397" w:hanging="397"/>
        <w:jc w:val="both"/>
      </w:pPr>
      <w:r>
        <w:rPr>
          <w:rFonts w:ascii="Arial Unicode MS" w:hAnsi="Arial Unicode MS" w:eastAsia="Arial Unicode MS"/>
          <w:b w:val="0"/>
          <w:i w:val="0"/>
          <w:color w:val="172033"/>
          <w:sz w:val="18"/>
        </w:rPr>
        <w:t xml:space="preserve">Saito, T., and Rehmsmeier, M. (2015). The precision-recall plot is more informative than the ROC plot when evaluating binary classifiers on imbalanced datasets. PLOS ONE, 10(3), e0118432. https://doi.org/10.1371/journal.pone.0118432</w:t>
      </w:r>
    </w:p>
    <w:p>
      <w:pPr>
        <w:spacing w:before="0" w:after="80" w:line="283" w:lineRule="auto"/>
        <w:ind w:left="397" w:hanging="397"/>
        <w:jc w:val="both"/>
      </w:pPr>
      <w:r>
        <w:rPr>
          <w:rFonts w:ascii="Arial Unicode MS" w:hAnsi="Arial Unicode MS" w:eastAsia="Arial Unicode MS"/>
          <w:b w:val="0"/>
          <w:i w:val="0"/>
          <w:color w:val="172033"/>
          <w:sz w:val="18"/>
        </w:rPr>
        <w:t xml:space="preserve">Scheinkman, J. A., and Xiong, W. (2003). Overconfidence and speculative bubbles. Journal of Political Economy, 111(6), 1183-1220. https://doi.org/10.1086/378531</w:t>
      </w:r>
    </w:p>
    <w:p>
      <w:pPr>
        <w:spacing w:before="0" w:after="80" w:line="283" w:lineRule="auto"/>
        <w:ind w:left="397" w:hanging="397"/>
        <w:jc w:val="both"/>
      </w:pPr>
      <w:r>
        <w:rPr>
          <w:rFonts w:ascii="Arial Unicode MS" w:hAnsi="Arial Unicode MS" w:eastAsia="Arial Unicode MS"/>
          <w:b w:val="0"/>
          <w:i w:val="0"/>
          <w:color w:val="172033"/>
          <w:sz w:val="18"/>
        </w:rPr>
        <w:t xml:space="preserve">Shiller, R. J. (2015). Irrational Exuberance (3rd ed.). Princeton University Press.</w:t>
      </w:r>
    </w:p>
    <w:p>
      <w:pPr>
        <w:spacing w:before="0" w:after="80" w:line="283" w:lineRule="auto"/>
        <w:ind w:left="397" w:hanging="397"/>
        <w:jc w:val="both"/>
      </w:pPr>
      <w:r>
        <w:rPr>
          <w:rFonts w:ascii="Arial Unicode MS" w:hAnsi="Arial Unicode MS" w:eastAsia="Arial Unicode MS"/>
          <w:b w:val="0"/>
          <w:i w:val="0"/>
          <w:color w:val="172033"/>
          <w:sz w:val="18"/>
        </w:rPr>
        <w:t xml:space="preserve">Shleifer, A., and Vishny, R. W. (1997). The limits of arbitrage. The Journal of Finance, 52(1), 35-55. https://doi.org/10.1111/j.1540-6261.1997.tb03807.x</w:t>
      </w:r>
    </w:p>
    <w:p>
      <w:pPr>
        <w:spacing w:before="0" w:after="80" w:line="283" w:lineRule="auto"/>
        <w:ind w:left="397" w:hanging="397"/>
        <w:jc w:val="both"/>
      </w:pPr>
      <w:r>
        <w:rPr>
          <w:rFonts w:ascii="Arial Unicode MS" w:hAnsi="Arial Unicode MS" w:eastAsia="Arial Unicode MS"/>
          <w:b w:val="0"/>
          <w:i w:val="0"/>
          <w:color w:val="172033"/>
          <w:sz w:val="18"/>
        </w:rPr>
        <w:t xml:space="preserve">Shmueli, G. (2010). To explain or to predict? Statistical Science, 25(3), 289-310. https://doi.org/10.1214/10-STS330</w:t>
      </w:r>
    </w:p>
    <w:p>
      <w:pPr>
        <w:spacing w:before="0" w:after="80" w:line="283" w:lineRule="auto"/>
        <w:ind w:left="397" w:hanging="397"/>
        <w:jc w:val="both"/>
      </w:pPr>
      <w:r>
        <w:rPr>
          <w:rFonts w:ascii="Arial Unicode MS" w:hAnsi="Arial Unicode MS" w:eastAsia="Arial Unicode MS"/>
          <w:b w:val="0"/>
          <w:i w:val="0"/>
          <w:color w:val="172033"/>
          <w:sz w:val="18"/>
        </w:rPr>
        <w:t xml:space="preserve">Suardi, S., Rasel, A. R., and Liu, B. (2022). On the predictive power of tweet sentiments and attention on Bitcoin. International Review of Economics &amp; Finance, 79, 289-301. https://doi.org/10.1016/j.iref.2022.02.017</w:t>
      </w:r>
    </w:p>
    <w:p>
      <w:pPr>
        <w:spacing w:before="0" w:after="80" w:line="283" w:lineRule="auto"/>
        <w:ind w:left="397" w:hanging="397"/>
        <w:jc w:val="both"/>
      </w:pPr>
      <w:r>
        <w:rPr>
          <w:rFonts w:ascii="Arial Unicode MS" w:hAnsi="Arial Unicode MS" w:eastAsia="Arial Unicode MS"/>
          <w:b w:val="0"/>
          <w:i w:val="0"/>
          <w:color w:val="172033"/>
          <w:sz w:val="18"/>
        </w:rPr>
        <w:t xml:space="preserve">Tetlock, P. C. (2007). Giving content to investor sentiment: The role of media in the stock market. The Journal of Finance, 62(3), 1139-1168. https://doi.org/10.1111/j.1540-6261.2007.01232.x</w:t>
      </w:r>
    </w:p>
    <w:p>
      <w:pPr>
        <w:spacing w:before="0" w:after="80" w:line="283" w:lineRule="auto"/>
        <w:ind w:left="397" w:hanging="397"/>
        <w:jc w:val="both"/>
      </w:pPr>
      <w:r>
        <w:rPr>
          <w:rFonts w:ascii="Arial Unicode MS" w:hAnsi="Arial Unicode MS" w:eastAsia="Arial Unicode MS"/>
          <w:b w:val="0"/>
          <w:i w:val="0"/>
          <w:color w:val="172033"/>
          <w:sz w:val="18"/>
        </w:rPr>
        <w:t xml:space="preserve">U.S. Securities and Exchange Commission. (2024). Statement on the approval of spot Bitcoin exchange-traded products, 10 January 2024. https://www.sec.gov/newsroom/speeches-statements/gensler-statement-spot-bitcoin-011023</w:t>
      </w:r>
    </w:p>
    <w:p>
      <w:pPr>
        <w:spacing w:before="0" w:after="80" w:line="283" w:lineRule="auto"/>
        <w:ind w:left="397" w:hanging="397"/>
        <w:jc w:val="both"/>
      </w:pPr>
      <w:r>
        <w:rPr>
          <w:rFonts w:ascii="Arial Unicode MS" w:hAnsi="Arial Unicode MS" w:eastAsia="Arial Unicode MS"/>
          <w:b w:val="0"/>
          <w:i w:val="0"/>
          <w:color w:val="172033"/>
          <w:sz w:val="18"/>
        </w:rPr>
        <w:t xml:space="preserve">Xu, J., and Livshits, B. (2019). The anatomy of a cryptocurrency pump-and-dump scheme. In Proceedings of the 28th USENIX Security Symposium (pp. 1609-1625). USENIX Association. https://www.usenix.org/conference/usenixsecurity19/presentation/xu-jiahua</w:t>
      </w:r>
    </w:p>
    <w:p>
      <w:pPr>
        <w:pStyle w:val="Heading1"/>
        <w:pageBreakBefore/>
      </w:pPr>
      <w:r>
        <w:t>附录 A：预分析决策规则</w:t>
      </w:r>
    </w:p>
    <w:p>
      <w:pPr>
        <w:keepNext/>
        <w:spacing w:before="40" w:after="40"/>
        <w:jc w:val="left"/>
      </w:pPr>
      <w:r>
        <w:rPr>
          <w:rFonts w:ascii="Arial Unicode MS" w:hAnsi="Arial Unicode MS" w:eastAsia="Arial Unicode MS"/>
          <w:b/>
          <w:i w:val="0"/>
          <w:color w:val="172033"/>
          <w:sz w:val="16"/>
        </w:rPr>
        <w:t xml:space="preserve">表 A1. 打开时间外评价期前必须冻结的规则</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1354"/>
        <w:gridCol w:w="3430"/>
        <w:gridCol w:w="4242"/>
      </w:tblGrid>
      <w:tr>
        <w:trPr>
          <w:tblHeader w:val="true"/>
          <w:cantSplit/>
        </w:trPr>
        <w:tc>
          <w:tcPr>
            <w:tcW w:type="dxa" w:w="1354"/>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决策领域</w:t>
            </w:r>
          </w:p>
        </w:tc>
        <w:tc>
          <w:tcPr>
            <w:tcW w:type="dxa" w:w="3430"/>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需冻结内容</w:t>
            </w:r>
          </w:p>
        </w:tc>
        <w:tc>
          <w:tcPr>
            <w:tcW w:type="dxa" w:w="4242"/>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目的</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币种池</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时点化纳入、排除、最低历史和退市处理</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防止生存者偏差与按结果选样本</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泡沫标签</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价格源、对数变换、滞后、临界水平、持续期、bootstrap</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防止根据社交结果调整标签</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标签程序与计数口径</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两阶段程序（GSADF 门槛 + 路径级校准边界）、最短持续期、episode 合并间隔、全市场周期窗口</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防止逐点标定产生横截面假标签，并固定 episode 与独立周期的计数口径</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频率与聚合</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主频率为日度、小时级模型的适用范围、禁止向前填充的规则</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防止按结果切换频率与粒度</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巨鲸定义</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大户实体阈值（流通量前 0.1% 加绝对下限）、大额转账门槛、三套替代定义</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防止按结果调整巨鲸口径</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文本模型</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三层模型方案、gold set 规格与分层、κ 阈值、语言分层、机器人打分</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防止事后更换情绪模型或标注口径</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预测</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起点、预测期、风险集、分区、缓冲、指标和操作阈值</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防止随机交叉验证和预测期搜索</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H1 特征</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传播和情绪家族及变换</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保持增量预测检验可解释</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前因与中介构造</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X 与 M 的成分互斥规则、作者集合互斥规则、滞后副本安慰剂</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防止中介设计退化为文本自相关</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H2 顺序</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基础情绪窗、中介窗、结果窗、主指数和 bootstrap 单位</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使中介方向可以被否定</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H3 序列</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事件锚、异常阈值、阶段窗、预期顺序和置换方案</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防止事后构造顺序</w:t>
            </w:r>
          </w:p>
        </w:tc>
      </w:tr>
      <w:tr>
        <w:trPr>
          <w:cantSplit/>
        </w:trPr>
        <w:tc>
          <w:tcPr>
            <w:tcW w:type="dxa" w:w="1354"/>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异质性</w:t>
            </w:r>
          </w:p>
        </w:tc>
        <w:tc>
          <w:tcPr>
            <w:tcW w:type="dxa" w:w="3430"/>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Meme/社群、流动性、市值、上市时间和平台组</w:t>
            </w:r>
          </w:p>
        </w:tc>
        <w:tc>
          <w:tcPr>
            <w:tcW w:type="dxa" w:w="4242"/>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限制多重检验和分组挑选</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报告</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Null 结果、FDR 家族、区间水平和探索性标签</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保证正负结果同等可见</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功效与降级</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功效模拟的三项输出及对应的自动降级规则</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防止事后为功效不足的不显著结果辩护</w:t>
            </w:r>
          </w:p>
        </w:tc>
      </w:tr>
      <w:tr>
        <w:trPr>
          <w:cantSplit/>
        </w:trPr>
        <w:tc>
          <w:tcPr>
            <w:tcW w:type="dxa" w:w="1354"/>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评价期披露</w:t>
            </w:r>
          </w:p>
        </w:tc>
        <w:tc>
          <w:tcPr>
            <w:tcW w:type="dxa" w:w="3430"/>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截至 2026 年 8 月已在 2025 年数据上观察到的全部内容清单</w:t>
            </w:r>
          </w:p>
        </w:tc>
        <w:tc>
          <w:tcPr>
            <w:tcW w:type="dxa" w:w="4242"/>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使“未观察”成为可核验事实而非自我声明</w:t>
            </w:r>
          </w:p>
        </w:tc>
      </w:tr>
    </w:tbl>
    <w:p>
      <w:pPr>
        <w:spacing w:after="20"/>
      </w:pPr>
    </w:p>
    <w:p>
      <w:pPr>
        <w:pStyle w:val="Heading1"/>
        <w:pageBreakBefore/>
      </w:pPr>
      <w:r>
        <w:t>附录 B：Pilot 至正式研究准备矩阵</w:t>
      </w:r>
    </w:p>
    <w:p>
      <w:pPr>
        <w:keepNext/>
        <w:spacing w:before="40" w:after="40"/>
        <w:jc w:val="left"/>
      </w:pPr>
      <w:r>
        <w:rPr>
          <w:rFonts w:ascii="Arial Unicode MS" w:hAnsi="Arial Unicode MS" w:eastAsia="Arial Unicode MS"/>
          <w:b/>
          <w:i w:val="0"/>
          <w:color w:val="172033"/>
          <w:sz w:val="16"/>
        </w:rPr>
        <w:t>表 B1. 各假设的数据准备度</w:t>
      </w:r>
    </w:p>
    <w:tbl>
      <w:tblPr>
        <w:tblW w:type="dxa" w:w="9026"/>
        <w:tblLayout w:type="fixed"/>
        <w:tblLook w:firstColumn="1" w:firstRow="1" w:lastColumn="0" w:lastRow="0" w:noHBand="0" w:noVBand="1" w:val="04A0"/>
        <w:jc w:val="left"/>
        <w:tblBorders>
          <w:top w:val="single" w:sz="5" w:space="0" w:color="CBD3DD"/>
          <w:left w:val="single" w:sz="5" w:space="0" w:color="CBD3DD"/>
          <w:bottom w:val="single" w:sz="5" w:space="0" w:color="CBD3DD"/>
          <w:right w:val="single" w:sz="5" w:space="0" w:color="CBD3DD"/>
          <w:insideH w:val="single" w:sz="5" w:space="0" w:color="CBD3DD"/>
          <w:insideV w:val="single" w:sz="5" w:space="0" w:color="CBD3DD"/>
        </w:tblBorders>
        <w:tblInd w:w="120" w:type="dxa"/>
      </w:tblPr>
      <w:tblGrid>
        <w:gridCol w:w="903"/>
        <w:gridCol w:w="2166"/>
        <w:gridCol w:w="2166"/>
        <w:gridCol w:w="1986"/>
        <w:gridCol w:w="1805"/>
      </w:tblGrid>
      <w:tr>
        <w:trPr>
          <w:tblHeader w:val="true"/>
          <w:cantSplit/>
        </w:trPr>
        <w:tc>
          <w:tcPr>
            <w:tcW w:type="dxa" w:w="903"/>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要求</w:t>
            </w:r>
          </w:p>
        </w:tc>
        <w:tc>
          <w:tcPr>
            <w:tcW w:type="dxa" w:w="216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H1 状态</w:t>
            </w:r>
          </w:p>
        </w:tc>
        <w:tc>
          <w:tcPr>
            <w:tcW w:type="dxa" w:w="216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H2 状态</w:t>
            </w:r>
          </w:p>
        </w:tc>
        <w:tc>
          <w:tcPr>
            <w:tcW w:type="dxa" w:w="1986"/>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H3 状态</w:t>
            </w:r>
          </w:p>
        </w:tc>
        <w:tc>
          <w:tcPr>
            <w:tcW w:type="dxa" w:w="1805"/>
            <w:vAlign w:val="center"/>
            <w:tcMar>
              <w:top w:w="58" w:type="dxa"/>
              <w:bottom w:w="58" w:type="dxa"/>
              <w:start w:w="88" w:type="dxa"/>
              <w:end w:w="88" w:type="dxa"/>
            </w:tcMar>
            <w:shd w:fill="E8EEF5"/>
          </w:tcPr>
          <w:p>
            <w:pPr>
              <w:spacing w:before="0" w:after="0" w:line="245" w:lineRule="auto"/>
              <w:jc w:val="center"/>
            </w:pPr>
            <w:r>
              <w:rPr>
                <w:rFonts w:ascii="Arial Unicode MS" w:hAnsi="Arial Unicode MS" w:eastAsia="Arial Unicode MS"/>
                <w:b/>
                <w:i w:val="0"/>
                <w:color w:val="17365D"/>
                <w:sz w:val="16"/>
              </w:rPr>
              <w:t>正式行动</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统一市场面板</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部分</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部分</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部分</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扩展全历史、多交易所检查和时点化币池</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正式 BSADF 标签</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仅 pilot</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仅 pilot</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仅 pilot</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提高 bootstrap 并做阈值敏感性</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全历史社交数据</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部分 Telegram/Reddit</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部分 Telegram</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序列检验需要</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增加许可 X 或广覆盖替代，并完成平台覆盖审计</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验证后的加密情绪</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未完成</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未完成</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未完成</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人工标注并验证极化/FOMO/FUD 模型</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协同传播代理</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Pilot 可运行</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Pilot 可运行</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Pilot 可运行</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验证已知事件、误报和来源稳健性</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锁定时间外预测</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未运行</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Pilot 不适用</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未运行</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2025 年降级为已部分观察的评价期；前瞻性样本外前移至 2026H2 并预注册</w:t>
            </w:r>
          </w:p>
        </w:tc>
      </w:tr>
      <w:tr>
        <w:trPr>
          <w:cantSplit/>
        </w:trPr>
        <w:tc>
          <w:tcPr>
            <w:tcW w:type="dxa" w:w="903"/>
            <w:vAlign w:val="center"/>
            <w:tcMar>
              <w:top w:w="58" w:type="dxa"/>
              <w:bottom w:w="58" w:type="dxa"/>
              <w:start w:w="88" w:type="dxa"/>
              <w:end w:w="88" w:type="dxa"/>
            </w:tcMar>
          </w:tcPr>
          <w:p>
            <w:pPr>
              <w:spacing w:before="0" w:after="0" w:line="245" w:lineRule="auto"/>
              <w:jc w:val="center"/>
            </w:pPr>
            <w:r>
              <w:rPr>
                <w:rFonts w:ascii="Arial Unicode MS" w:hAnsi="Arial Unicode MS" w:eastAsia="Arial Unicode MS"/>
                <w:b w:val="0"/>
                <w:i w:val="0"/>
                <w:color w:val="172033"/>
                <w:sz w:val="16"/>
              </w:rPr>
              <w:t>实体识别巨鲸数据</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非必要</w:t>
            </w:r>
          </w:p>
        </w:tc>
        <w:tc>
          <w:tcPr>
            <w:tcW w:type="dxa" w:w="216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可选控制</w:t>
            </w:r>
          </w:p>
        </w:tc>
        <w:tc>
          <w:tcPr>
            <w:tcW w:type="dxa" w:w="1986"/>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尚未收集</w:t>
            </w:r>
          </w:p>
        </w:tc>
        <w:tc>
          <w:tcPr>
            <w:tcW w:type="dxa" w:w="1805"/>
            <w:vAlign w:val="center"/>
            <w:tcMar>
              <w:top w:w="58" w:type="dxa"/>
              <w:bottom w:w="58" w:type="dxa"/>
              <w:start w:w="88" w:type="dxa"/>
              <w:end w:w="88" w:type="dxa"/>
            </w:tcMar>
          </w:tcPr>
          <w:p>
            <w:pPr>
              <w:spacing w:before="0" w:after="0" w:line="245" w:lineRule="auto"/>
              <w:jc w:val="left"/>
            </w:pPr>
            <w:r>
              <w:rPr>
                <w:rFonts w:ascii="Arial Unicode MS" w:hAnsi="Arial Unicode MS" w:eastAsia="Arial Unicode MS"/>
                <w:b w:val="0"/>
                <w:i w:val="0"/>
                <w:color w:val="172033"/>
                <w:sz w:val="16"/>
              </w:rPr>
              <w:t>获取供应商/浏览器覆盖并执行 go/no-go</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独立泡沫事件数</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待确定</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待确定</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待确定</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在决定模型复杂度前进行事件级功效模拟</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独立事件数与功效模拟</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设计冻结前完成并提交；输出绑定降级规则</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社交覆盖与生存者偏差报告</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报告频道存续期与覆盖起始分布；做存续子集重估</w:t>
            </w:r>
          </w:p>
        </w:tc>
      </w:tr>
      <w:tr>
        <w:trPr>
          <w:cantSplit/>
        </w:trPr>
        <w:tc>
          <w:tcPr>
            <w:tcW w:type="dxa" w:w="903"/>
            <w:vAlign w:val="center"/>
            <w:tcMar>
              <w:top w:w="58" w:type="dxa"/>
              <w:bottom w:w="58" w:type="dxa"/>
              <w:start w:w="88" w:type="dxa"/>
              <w:end w:w="88" w:type="dxa"/>
            </w:tcMar>
            <w:shd w:fill="FAFBFC"/>
          </w:tcPr>
          <w:p>
            <w:pPr>
              <w:spacing w:before="0" w:after="0" w:line="245" w:lineRule="auto"/>
              <w:jc w:val="center"/>
            </w:pPr>
            <w:r>
              <w:rPr>
                <w:rFonts w:ascii="Arial Unicode MS" w:hAnsi="Arial Unicode MS" w:eastAsia="Arial Unicode MS"/>
                <w:b w:val="0"/>
                <w:i w:val="0"/>
                <w:color w:val="172033"/>
                <w:sz w:val="16"/>
              </w:rPr>
              <w:t xml:space="preserve">人工标注 gold set</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216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未完成</w:t>
            </w:r>
          </w:p>
        </w:tc>
        <w:tc>
          <w:tcPr>
            <w:tcW w:type="dxa" w:w="1986"/>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不适用</w:t>
            </w:r>
          </w:p>
        </w:tc>
        <w:tc>
          <w:tcPr>
            <w:tcW w:type="dxa" w:w="1805"/>
            <w:vAlign w:val="center"/>
            <w:tcMar>
              <w:top w:w="58" w:type="dxa"/>
              <w:bottom w:w="58" w:type="dxa"/>
              <w:start w:w="88" w:type="dxa"/>
              <w:end w:w="88" w:type="dxa"/>
            </w:tcMar>
            <w:shd w:fill="FAFBFC"/>
          </w:tcPr>
          <w:p>
            <w:pPr>
              <w:spacing w:before="0" w:after="0" w:line="245" w:lineRule="auto"/>
              <w:jc w:val="left"/>
            </w:pPr>
            <w:r>
              <w:rPr>
                <w:rFonts w:ascii="Arial Unicode MS" w:hAnsi="Arial Unicode MS" w:eastAsia="Arial Unicode MS"/>
                <w:b w:val="0"/>
                <w:i w:val="0"/>
                <w:color w:val="172033"/>
                <w:sz w:val="16"/>
              </w:rPr>
              <w:t xml:space="preserve">3,000-5,000 条、双编码者、κ ≥ 0.70、分语言报告</w:t>
            </w:r>
          </w:p>
        </w:tc>
      </w:tr>
    </w:tbl>
    <w:p>
      <w:pPr>
        <w:spacing w:after="20"/>
      </w:pP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Unicode MS" w:hAnsi="Arial Unicode MS" w:eastAsia="Arial Unicode MS"/>
        <w:b w:val="0"/>
        <w:i w:val="0"/>
        <w:color w:val="5B6573"/>
        <w:sz w:val="17"/>
      </w:rPr>
      <w:t xml:space="preserve">第 </w:t>
    </w:r>
    <w:r>
      <w:fldChar w:fldCharType="begin"/>
    </w:r>
    <w:r>
      <w:instrText xml:space="preserve"> PAGE </w:instrText>
    </w:r>
    <w:r>
      <w:fldChar w:fldCharType="separate"/>
    </w:r>
    <w:r>
      <w:t>1</w:t>
    </w:r>
    <w:r>
      <w:fldChar w:fldCharType="end"/>
    </w:r>
    <w:r>
      <w:rPr>
        <w:rFonts w:ascii="Arial Unicode MS" w:hAnsi="Arial Unicode MS" w:eastAsia="Arial Unicode MS"/>
        <w:b w:val="0"/>
        <w:i w:val="0"/>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4" w:color="CBD3DD"/>
      </w:pBdr>
    </w:pPr>
    <w:r>
      <w:rPr>
        <w:rFonts w:ascii="Arial Unicode MS" w:hAnsi="Arial Unicode MS" w:eastAsia="Arial Unicode MS"/>
        <w:b w:val="0"/>
        <w:i w:val="0"/>
        <w:color w:val="5B6573"/>
        <w:sz w:val="17"/>
      </w:rPr>
      <w:t>博士研究开题报告 | 答辩委员会提交版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24" w:lineRule="auto"/>
      <w:jc w:val="both"/>
    </w:pPr>
    <w:rPr>
      <w:rFonts w:ascii="Arial Unicode MS" w:hAnsi="Arial Unicode MS" w:eastAsia="Arial Unicode MS"/>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69" w:lineRule="auto"/>
      <w:outlineLvl w:val="0"/>
    </w:pPr>
    <w:rPr>
      <w:rFonts w:asciiTheme="majorHAnsi" w:eastAsiaTheme="majorEastAsia" w:hAnsiTheme="majorHAnsi" w:cstheme="majorBidi" w:ascii="Arial Unicode MS" w:hAnsi="Arial Unicode MS" w:eastAsia="Arial Unicode M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rFonts w:asciiTheme="majorHAnsi" w:eastAsiaTheme="majorEastAsia" w:hAnsiTheme="majorHAnsi" w:cstheme="majorBidi" w:ascii="Arial Unicode MS" w:hAnsi="Arial Unicode MS" w:eastAsia="Arial Unicode M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line="269" w:lineRule="auto"/>
      <w:outlineLvl w:val="2"/>
    </w:pPr>
    <w:rPr>
      <w:rFonts w:asciiTheme="majorHAnsi" w:eastAsiaTheme="majorEastAsia" w:hAnsiTheme="majorHAnsi" w:cstheme="majorBidi" w:ascii="Arial Unicode MS" w:hAnsi="Arial Unicode MS" w:eastAsia="Arial Unicode M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461" w:hanging="230"/>
      <w:contextualSpacing/>
    </w:pPr>
    <w:rPr>
      <w:rFonts w:ascii="Arial Unicode MS" w:hAnsi="Arial Unicode MS" w:eastAsia="Arial Unicode M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461" w:hanging="230"/>
      <w:contextualSpacing/>
    </w:pPr>
    <w:rPr>
      <w:rFonts w:ascii="Arial Unicode MS" w:hAnsi="Arial Unicode MS" w:eastAsia="Arial Unicode M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加密货币泡沫形成的预测研究：散户情绪、社交媒体传播、操纵传播与巨鲸行为</dc:title>
  <dc:subject>Doctoral research proposal committee submission</dc:subject>
  <dc:creator>Ma Hongwei</dc:creator>
  <cp:keywords/>
  <dc:description>generated by python-docx</dc:description>
  <cp:lastModifiedBy/>
  <cp:revision>1</cp:revision>
  <dcterms:created xsi:type="dcterms:W3CDTF">2013-12-23T23:15:00Z</dcterms:created>
  <dcterms:modified xsi:type="dcterms:W3CDTF">2013-12-23T23:15:00Z</dcterms:modified>
  <cp:category/>
</cp:coreProperties>
</file>