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5" w:rsidRPr="00837F31" w:rsidRDefault="002E1D95">
      <w:pPr>
        <w:pStyle w:val="Texttabulky"/>
        <w:jc w:val="center"/>
      </w:pPr>
    </w:p>
    <w:p w:rsidR="002E1D95" w:rsidRPr="00837F31" w:rsidRDefault="002E1D95">
      <w:pPr>
        <w:jc w:val="center"/>
      </w:pPr>
      <w:r w:rsidRPr="00837F31">
        <w:rPr>
          <w:b/>
          <w:sz w:val="32"/>
        </w:rPr>
        <w:t>ZÁPADOČESKÁ UNIVERZITA V PLZNI</w:t>
      </w:r>
    </w:p>
    <w:p w:rsidR="002E1D95" w:rsidRPr="00837F31" w:rsidRDefault="002E1D95">
      <w:pPr>
        <w:jc w:val="center"/>
      </w:pPr>
      <w:r w:rsidRPr="00837F31">
        <w:t>Elektrotechnická fakulta</w:t>
      </w:r>
    </w:p>
    <w:p w:rsidR="002E1D95" w:rsidRPr="00837F31" w:rsidRDefault="002E1D95">
      <w:pPr>
        <w:jc w:val="center"/>
      </w:pPr>
      <w:r w:rsidRPr="00837F31">
        <w:t>KATEDRA ELEKTROENERGETIKY A EKOLOGIE</w:t>
      </w:r>
    </w:p>
    <w:p w:rsidR="002E1D95" w:rsidRPr="00837F31" w:rsidRDefault="002E1D95">
      <w:pPr>
        <w:jc w:val="center"/>
      </w:pPr>
    </w:p>
    <w:p w:rsidR="002E1D95" w:rsidRPr="00837F31" w:rsidRDefault="002E1D95">
      <w:pPr>
        <w:jc w:val="center"/>
      </w:pPr>
    </w:p>
    <w:p w:rsidR="002E1D95" w:rsidRPr="00837F31" w:rsidRDefault="002E1D95">
      <w:pPr>
        <w:jc w:val="center"/>
      </w:pPr>
    </w:p>
    <w:p w:rsidR="002E1D95" w:rsidRPr="00837F31" w:rsidRDefault="002E1D95">
      <w:pPr>
        <w:jc w:val="center"/>
      </w:pPr>
    </w:p>
    <w:p w:rsidR="002E1D95" w:rsidRPr="00837F31" w:rsidRDefault="002E1D95">
      <w:pPr>
        <w:jc w:val="center"/>
      </w:pPr>
    </w:p>
    <w:p w:rsidR="002E1D95" w:rsidRPr="00837F31" w:rsidRDefault="002E1D95">
      <w:pPr>
        <w:jc w:val="center"/>
        <w:rPr>
          <w:sz w:val="28"/>
        </w:rPr>
      </w:pPr>
      <w:r w:rsidRPr="00837F31">
        <w:rPr>
          <w:sz w:val="28"/>
        </w:rPr>
        <w:t>Elektrické přístroje 1</w:t>
      </w:r>
    </w:p>
    <w:p w:rsidR="002E1D95" w:rsidRPr="00837F31" w:rsidRDefault="002E1D95">
      <w:pPr>
        <w:jc w:val="center"/>
      </w:pPr>
      <w:r w:rsidRPr="00837F31">
        <w:rPr>
          <w:sz w:val="28"/>
        </w:rPr>
        <w:t>EPR 1</w:t>
      </w:r>
    </w:p>
    <w:p w:rsidR="002E1D95" w:rsidRPr="00837F31" w:rsidRDefault="002E1D95">
      <w:pPr>
        <w:jc w:val="center"/>
      </w:pPr>
      <w:r w:rsidRPr="00837F31">
        <w:t>LS 2015-2016</w:t>
      </w:r>
    </w:p>
    <w:p w:rsidR="002E1D95" w:rsidRPr="00837F31" w:rsidRDefault="002E1D95">
      <w:pPr>
        <w:jc w:val="center"/>
      </w:pPr>
    </w:p>
    <w:p w:rsidR="002E1D95" w:rsidRPr="00837F31" w:rsidRDefault="002E1D95">
      <w:pPr>
        <w:jc w:val="center"/>
      </w:pPr>
    </w:p>
    <w:p w:rsidR="00BD6B2F" w:rsidRPr="00837F31" w:rsidRDefault="00BD6B2F" w:rsidP="00BD6B2F">
      <w:pPr>
        <w:pStyle w:val="Nadpis1"/>
        <w:rPr>
          <w:sz w:val="32"/>
          <w:szCs w:val="32"/>
        </w:rPr>
      </w:pPr>
      <w:r w:rsidRPr="00837F31">
        <w:rPr>
          <w:sz w:val="32"/>
          <w:szCs w:val="32"/>
        </w:rPr>
        <w:t>Měření na bleskojistkách</w:t>
      </w:r>
    </w:p>
    <w:p w:rsidR="002E1D95" w:rsidRPr="00837F31" w:rsidRDefault="002E1D95">
      <w:pPr>
        <w:jc w:val="center"/>
      </w:pPr>
    </w:p>
    <w:p w:rsidR="002E1D95" w:rsidRPr="00837F31" w:rsidRDefault="002E1D95">
      <w:pPr>
        <w:jc w:val="center"/>
      </w:pPr>
    </w:p>
    <w:p w:rsidR="002E1D95" w:rsidRPr="00837F31" w:rsidRDefault="002E1D95">
      <w:pPr>
        <w:jc w:val="center"/>
      </w:pPr>
    </w:p>
    <w:p w:rsidR="002E1D95" w:rsidRPr="00837F31" w:rsidRDefault="002E1D95">
      <w:pPr>
        <w:jc w:val="center"/>
      </w:pPr>
    </w:p>
    <w:tbl>
      <w:tblPr>
        <w:tblW w:w="0" w:type="auto"/>
        <w:tblInd w:w="-10" w:type="dxa"/>
        <w:tblLayout w:type="fixed"/>
        <w:tblLook w:val="0000"/>
      </w:tblPr>
      <w:tblGrid>
        <w:gridCol w:w="5609"/>
        <w:gridCol w:w="3699"/>
      </w:tblGrid>
      <w:tr w:rsidR="002E1D95" w:rsidRPr="00837F31">
        <w:trPr>
          <w:trHeight w:val="438"/>
        </w:trPr>
        <w:tc>
          <w:tcPr>
            <w:tcW w:w="5609" w:type="dxa"/>
            <w:tcBorders>
              <w:top w:val="single" w:sz="4" w:space="0" w:color="000000"/>
              <w:left w:val="single" w:sz="4" w:space="0" w:color="000000"/>
              <w:bottom w:val="single" w:sz="4" w:space="0" w:color="000000"/>
            </w:tcBorders>
            <w:shd w:val="clear" w:color="auto" w:fill="auto"/>
          </w:tcPr>
          <w:p w:rsidR="002E1D95" w:rsidRPr="00837F31" w:rsidRDefault="002E1D95" w:rsidP="0008511C">
            <w:pPr>
              <w:jc w:val="left"/>
            </w:pPr>
            <w:r w:rsidRPr="00837F31">
              <w:t>Den měření a hodina:     </w:t>
            </w:r>
            <w:r w:rsidR="0008511C" w:rsidRPr="00837F31">
              <w:t>úterý</w:t>
            </w:r>
            <w:r w:rsidRPr="00837F31">
              <w:t xml:space="preserve"> / 7-8.hod  sudý</w:t>
            </w:r>
          </w:p>
        </w:tc>
        <w:tc>
          <w:tcPr>
            <w:tcW w:w="3699" w:type="dxa"/>
            <w:tcBorders>
              <w:top w:val="single" w:sz="4" w:space="0" w:color="000000"/>
              <w:left w:val="single" w:sz="4" w:space="0" w:color="000000"/>
              <w:bottom w:val="single" w:sz="4" w:space="0" w:color="000000"/>
              <w:right w:val="single" w:sz="4" w:space="0" w:color="000000"/>
            </w:tcBorders>
            <w:shd w:val="clear" w:color="auto" w:fill="auto"/>
          </w:tcPr>
          <w:p w:rsidR="002E1D95" w:rsidRPr="00837F31" w:rsidRDefault="002E1D95" w:rsidP="0008511C">
            <w:pPr>
              <w:jc w:val="left"/>
            </w:pPr>
            <w:r w:rsidRPr="00837F31">
              <w:t>Datum měření:  </w:t>
            </w:r>
            <w:r w:rsidR="0008511C" w:rsidRPr="00837F31">
              <w:t>5</w:t>
            </w:r>
            <w:r w:rsidRPr="00837F31">
              <w:t xml:space="preserve">. </w:t>
            </w:r>
            <w:r w:rsidR="0008511C" w:rsidRPr="00837F31">
              <w:t>4</w:t>
            </w:r>
            <w:r w:rsidRPr="00837F31">
              <w:t>. 2016</w:t>
            </w:r>
          </w:p>
        </w:tc>
      </w:tr>
      <w:tr w:rsidR="002E1D95" w:rsidRPr="00837F31">
        <w:trPr>
          <w:trHeight w:val="437"/>
        </w:trPr>
        <w:tc>
          <w:tcPr>
            <w:tcW w:w="5609" w:type="dxa"/>
            <w:tcBorders>
              <w:top w:val="single" w:sz="4" w:space="0" w:color="000000"/>
              <w:left w:val="single" w:sz="4" w:space="0" w:color="000000"/>
              <w:bottom w:val="single" w:sz="4" w:space="0" w:color="000000"/>
            </w:tcBorders>
            <w:shd w:val="clear" w:color="auto" w:fill="auto"/>
          </w:tcPr>
          <w:p w:rsidR="002E1D95" w:rsidRPr="00837F31" w:rsidRDefault="002E1D95" w:rsidP="0008511C">
            <w:pPr>
              <w:jc w:val="left"/>
            </w:pPr>
            <w:r w:rsidRPr="00837F31">
              <w:t>Autor referátu:    J</w:t>
            </w:r>
            <w:r w:rsidR="0008511C" w:rsidRPr="00837F31">
              <w:t>an Kaska</w:t>
            </w:r>
          </w:p>
        </w:tc>
        <w:tc>
          <w:tcPr>
            <w:tcW w:w="3699" w:type="dxa"/>
            <w:tcBorders>
              <w:top w:val="single" w:sz="4" w:space="0" w:color="000000"/>
              <w:left w:val="single" w:sz="4" w:space="0" w:color="000000"/>
              <w:bottom w:val="single" w:sz="4" w:space="0" w:color="000000"/>
              <w:right w:val="single" w:sz="4" w:space="0" w:color="000000"/>
            </w:tcBorders>
            <w:shd w:val="clear" w:color="auto" w:fill="auto"/>
          </w:tcPr>
          <w:p w:rsidR="002E1D95" w:rsidRPr="00837F31" w:rsidRDefault="002E1D95" w:rsidP="0008511C">
            <w:pPr>
              <w:jc w:val="left"/>
            </w:pPr>
            <w:r w:rsidRPr="00837F31">
              <w:t xml:space="preserve">spolupracovali:  </w:t>
            </w:r>
            <w:r w:rsidR="0008511C" w:rsidRPr="00837F31">
              <w:t>Josef Musil</w:t>
            </w:r>
          </w:p>
        </w:tc>
      </w:tr>
      <w:tr w:rsidR="002E1D95" w:rsidRPr="00837F31">
        <w:trPr>
          <w:trHeight w:val="437"/>
        </w:trPr>
        <w:tc>
          <w:tcPr>
            <w:tcW w:w="5609" w:type="dxa"/>
            <w:tcBorders>
              <w:left w:val="single" w:sz="4" w:space="0" w:color="000000"/>
              <w:bottom w:val="single" w:sz="4" w:space="0" w:color="000000"/>
            </w:tcBorders>
            <w:shd w:val="clear" w:color="auto" w:fill="auto"/>
          </w:tcPr>
          <w:p w:rsidR="002E1D95" w:rsidRPr="00837F31" w:rsidRDefault="002E1D95">
            <w:pPr>
              <w:jc w:val="left"/>
            </w:pPr>
          </w:p>
        </w:tc>
        <w:tc>
          <w:tcPr>
            <w:tcW w:w="3699" w:type="dxa"/>
            <w:tcBorders>
              <w:left w:val="single" w:sz="4" w:space="0" w:color="000000"/>
              <w:bottom w:val="single" w:sz="4" w:space="0" w:color="000000"/>
              <w:right w:val="single" w:sz="4" w:space="0" w:color="000000"/>
            </w:tcBorders>
            <w:shd w:val="clear" w:color="auto" w:fill="auto"/>
          </w:tcPr>
          <w:p w:rsidR="002E1D95" w:rsidRPr="00837F31" w:rsidRDefault="002E1D95" w:rsidP="0008511C">
            <w:pPr>
              <w:tabs>
                <w:tab w:val="center" w:pos="1731"/>
              </w:tabs>
              <w:jc w:val="left"/>
            </w:pPr>
            <w:r w:rsidRPr="00837F31">
              <w:t xml:space="preserve">                           </w:t>
            </w:r>
            <w:r w:rsidR="0008511C" w:rsidRPr="00837F31">
              <w:t>Ondřej Šefl</w:t>
            </w:r>
            <w:r w:rsidRPr="00837F31">
              <w:tab/>
            </w:r>
          </w:p>
        </w:tc>
      </w:tr>
      <w:tr w:rsidR="002E1D95" w:rsidRPr="00837F31">
        <w:trPr>
          <w:trHeight w:val="437"/>
        </w:trPr>
        <w:tc>
          <w:tcPr>
            <w:tcW w:w="5609" w:type="dxa"/>
            <w:tcBorders>
              <w:left w:val="single" w:sz="4" w:space="0" w:color="000000"/>
              <w:bottom w:val="single" w:sz="4" w:space="0" w:color="000000"/>
            </w:tcBorders>
            <w:shd w:val="clear" w:color="auto" w:fill="auto"/>
          </w:tcPr>
          <w:p w:rsidR="002E1D95" w:rsidRPr="00837F31" w:rsidRDefault="002E1D95">
            <w:pPr>
              <w:jc w:val="left"/>
            </w:pPr>
          </w:p>
        </w:tc>
        <w:tc>
          <w:tcPr>
            <w:tcW w:w="3699" w:type="dxa"/>
            <w:tcBorders>
              <w:left w:val="single" w:sz="4" w:space="0" w:color="000000"/>
              <w:bottom w:val="single" w:sz="4" w:space="0" w:color="000000"/>
              <w:right w:val="single" w:sz="4" w:space="0" w:color="000000"/>
            </w:tcBorders>
            <w:shd w:val="clear" w:color="auto" w:fill="auto"/>
          </w:tcPr>
          <w:p w:rsidR="002E1D95" w:rsidRPr="00837F31" w:rsidRDefault="002E1D95">
            <w:pPr>
              <w:tabs>
                <w:tab w:val="left" w:pos="1569"/>
                <w:tab w:val="center" w:pos="1731"/>
              </w:tabs>
              <w:jc w:val="left"/>
            </w:pPr>
            <w:r w:rsidRPr="00837F31">
              <w:t xml:space="preserve">                           Tomáš Pretl</w:t>
            </w:r>
            <w:r w:rsidRPr="00837F31">
              <w:tab/>
            </w:r>
          </w:p>
        </w:tc>
      </w:tr>
    </w:tbl>
    <w:p w:rsidR="002E1D95" w:rsidRPr="00837F31" w:rsidRDefault="002E1D95">
      <w:pPr>
        <w:jc w:val="center"/>
      </w:pPr>
    </w:p>
    <w:p w:rsidR="002E1D95" w:rsidRPr="00837F31" w:rsidRDefault="002E1D95">
      <w:pPr>
        <w:pageBreakBefore/>
        <w:rPr>
          <w:szCs w:val="24"/>
        </w:rPr>
      </w:pPr>
      <w:r w:rsidRPr="00837F31">
        <w:rPr>
          <w:b/>
          <w:bCs/>
          <w:sz w:val="36"/>
          <w:szCs w:val="36"/>
        </w:rPr>
        <w:lastRenderedPageBreak/>
        <w:t>Anotace</w:t>
      </w:r>
    </w:p>
    <w:p w:rsidR="002E1D95" w:rsidRDefault="00036265">
      <w:pPr>
        <w:rPr>
          <w:szCs w:val="24"/>
        </w:rPr>
      </w:pPr>
      <w:r w:rsidRPr="00837F31">
        <w:rPr>
          <w:szCs w:val="24"/>
        </w:rPr>
        <w:t>Zjištění rozměrů jednotlivých odporníků. Změření hodnot napětí a proud</w:t>
      </w:r>
      <w:r w:rsidR="003F04D9">
        <w:rPr>
          <w:szCs w:val="24"/>
        </w:rPr>
        <w:t>ů</w:t>
      </w:r>
      <w:r w:rsidR="00BC751B" w:rsidRPr="00837F31">
        <w:rPr>
          <w:szCs w:val="24"/>
        </w:rPr>
        <w:t>, s</w:t>
      </w:r>
      <w:r w:rsidRPr="00837F31">
        <w:rPr>
          <w:szCs w:val="24"/>
        </w:rPr>
        <w:t>estrojení VA charakteristik tří různých odporníků ventilových bleskojistek. Dopočítání hodnot odporů</w:t>
      </w:r>
      <w:r w:rsidR="00E54A21">
        <w:rPr>
          <w:szCs w:val="24"/>
        </w:rPr>
        <w:t xml:space="preserve"> při jednotlivých</w:t>
      </w:r>
      <w:r w:rsidR="00D91D0A">
        <w:rPr>
          <w:szCs w:val="24"/>
        </w:rPr>
        <w:t xml:space="preserve"> hodnotách</w:t>
      </w:r>
      <w:r w:rsidR="00E54A21">
        <w:rPr>
          <w:szCs w:val="24"/>
        </w:rPr>
        <w:t xml:space="preserve"> napětí</w:t>
      </w:r>
      <w:r w:rsidRPr="00837F31">
        <w:rPr>
          <w:szCs w:val="24"/>
        </w:rPr>
        <w:t>.</w:t>
      </w:r>
    </w:p>
    <w:p w:rsidR="00D91D0A" w:rsidRPr="00837F31" w:rsidRDefault="00D91D0A">
      <w:pPr>
        <w:rPr>
          <w:szCs w:val="24"/>
        </w:rPr>
      </w:pPr>
    </w:p>
    <w:p w:rsidR="002E1D95" w:rsidRDefault="002E1D95">
      <w:pPr>
        <w:rPr>
          <w:b/>
          <w:bCs/>
          <w:sz w:val="36"/>
          <w:szCs w:val="36"/>
          <w:lang w:val="en-US"/>
        </w:rPr>
      </w:pPr>
      <w:r w:rsidRPr="00837F31">
        <w:rPr>
          <w:b/>
          <w:bCs/>
          <w:sz w:val="36"/>
          <w:szCs w:val="36"/>
          <w:lang w:val="en-US"/>
        </w:rPr>
        <w:t>Abstract</w:t>
      </w:r>
    </w:p>
    <w:p w:rsidR="004907AD" w:rsidRPr="00837F31" w:rsidRDefault="004907AD">
      <w:pPr>
        <w:rPr>
          <w:szCs w:val="24"/>
          <w:lang w:val="en-US"/>
        </w:rPr>
      </w:pPr>
      <w:r>
        <w:rPr>
          <w:szCs w:val="24"/>
          <w:lang w:val="en-US"/>
        </w:rPr>
        <w:t xml:space="preserve">Determining sizes of individual </w:t>
      </w:r>
      <w:r w:rsidR="00E54A21">
        <w:rPr>
          <w:szCs w:val="24"/>
          <w:lang w:val="en-US"/>
        </w:rPr>
        <w:t>resistances.</w:t>
      </w:r>
      <w:r>
        <w:rPr>
          <w:szCs w:val="24"/>
          <w:lang w:val="en-US"/>
        </w:rPr>
        <w:t xml:space="preserve"> </w:t>
      </w:r>
      <w:r w:rsidRPr="004907AD">
        <w:rPr>
          <w:szCs w:val="24"/>
          <w:lang w:val="en-US"/>
        </w:rPr>
        <w:t>Measuring voltage and current values</w:t>
      </w:r>
      <w:r>
        <w:rPr>
          <w:szCs w:val="24"/>
          <w:lang w:val="en-US"/>
        </w:rPr>
        <w:t xml:space="preserve">, </w:t>
      </w:r>
      <w:r w:rsidR="00E54A21">
        <w:rPr>
          <w:szCs w:val="24"/>
          <w:lang w:val="en-US"/>
        </w:rPr>
        <w:t>plot</w:t>
      </w:r>
      <w:r w:rsidR="003F04D9">
        <w:rPr>
          <w:szCs w:val="24"/>
          <w:lang w:val="en-US"/>
        </w:rPr>
        <w:t>ting</w:t>
      </w:r>
      <w:r w:rsidR="00E54A21">
        <w:rPr>
          <w:szCs w:val="24"/>
          <w:lang w:val="en-US"/>
        </w:rPr>
        <w:t xml:space="preserve"> the VA characteristic of three different valve arrester resistances. Determining resist</w:t>
      </w:r>
      <w:r w:rsidR="003F04D9">
        <w:rPr>
          <w:szCs w:val="24"/>
          <w:lang w:val="en-US"/>
        </w:rPr>
        <w:t>a</w:t>
      </w:r>
      <w:r w:rsidR="00E54A21">
        <w:rPr>
          <w:szCs w:val="24"/>
          <w:lang w:val="en-US"/>
        </w:rPr>
        <w:t>nce values for individual voltage values.</w:t>
      </w:r>
    </w:p>
    <w:p w:rsidR="00B664B4" w:rsidRPr="00837F31" w:rsidRDefault="00B664B4">
      <w:pPr>
        <w:rPr>
          <w:szCs w:val="24"/>
          <w:lang w:val="en-US"/>
        </w:rPr>
      </w:pPr>
    </w:p>
    <w:p w:rsidR="004E72AD" w:rsidRPr="00837F31" w:rsidRDefault="004E72AD">
      <w:pPr>
        <w:rPr>
          <w:szCs w:val="24"/>
          <w:lang w:val="en-US"/>
        </w:rPr>
      </w:pPr>
    </w:p>
    <w:p w:rsidR="004E72AD" w:rsidRPr="00837F31" w:rsidRDefault="004E72AD">
      <w:pPr>
        <w:rPr>
          <w:szCs w:val="24"/>
        </w:rPr>
      </w:pPr>
    </w:p>
    <w:p w:rsidR="0026155D" w:rsidRPr="00837F31" w:rsidRDefault="002E1D95" w:rsidP="0026155D">
      <w:r w:rsidRPr="00837F31">
        <w:rPr>
          <w:b/>
          <w:bCs/>
          <w:sz w:val="36"/>
          <w:szCs w:val="36"/>
        </w:rPr>
        <w:t>Klíčová slova</w:t>
      </w:r>
    </w:p>
    <w:p w:rsidR="002E1D95" w:rsidRPr="00837F31" w:rsidRDefault="0026155D" w:rsidP="0026155D">
      <w:r w:rsidRPr="00837F31">
        <w:t>bleskojistka, ventilová bleskojistka, odporníky, var</w:t>
      </w:r>
      <w:r w:rsidR="00881632">
        <w:t>istory</w:t>
      </w:r>
      <w:r w:rsidRPr="00837F31">
        <w:t>, VA charakteristika bleskojistky</w:t>
      </w:r>
    </w:p>
    <w:p w:rsidR="002E1D95" w:rsidRPr="00837F31" w:rsidRDefault="002E1D95">
      <w:pPr>
        <w:ind w:left="1410" w:hanging="1410"/>
        <w:rPr>
          <w:szCs w:val="24"/>
        </w:rPr>
      </w:pPr>
    </w:p>
    <w:p w:rsidR="002E1D95" w:rsidRDefault="002E1D95">
      <w:pPr>
        <w:rPr>
          <w:b/>
          <w:bCs/>
          <w:sz w:val="36"/>
          <w:lang w:val="en-US"/>
        </w:rPr>
      </w:pPr>
      <w:r w:rsidRPr="00837F31">
        <w:rPr>
          <w:b/>
          <w:bCs/>
          <w:sz w:val="36"/>
          <w:lang w:val="en-US"/>
        </w:rPr>
        <w:t>Key words</w:t>
      </w:r>
    </w:p>
    <w:p w:rsidR="00881632" w:rsidRPr="004B2855" w:rsidRDefault="00881632">
      <w:pPr>
        <w:rPr>
          <w:szCs w:val="24"/>
          <w:lang w:val="en-US"/>
        </w:rPr>
      </w:pPr>
      <w:r w:rsidRPr="004B2855">
        <w:rPr>
          <w:bCs/>
          <w:szCs w:val="24"/>
          <w:lang w:val="en-US"/>
        </w:rPr>
        <w:t xml:space="preserve">surge arrester, valve arrester, resistances, </w:t>
      </w:r>
      <w:r w:rsidR="004B2855" w:rsidRPr="004B2855">
        <w:rPr>
          <w:bCs/>
          <w:szCs w:val="24"/>
          <w:lang w:val="en-US"/>
        </w:rPr>
        <w:t>varistors, surge arrester VA characteristic</w:t>
      </w:r>
    </w:p>
    <w:p w:rsidR="002E1D95" w:rsidRPr="00837F31" w:rsidRDefault="002E1D95">
      <w:pPr>
        <w:ind w:left="1410" w:hanging="1410"/>
        <w:rPr>
          <w:szCs w:val="24"/>
        </w:rPr>
      </w:pPr>
    </w:p>
    <w:p w:rsidR="002E1D95" w:rsidRPr="00837F31" w:rsidRDefault="002E1D95">
      <w:pPr>
        <w:rPr>
          <w:szCs w:val="24"/>
        </w:rPr>
      </w:pPr>
    </w:p>
    <w:p w:rsidR="002E1D95" w:rsidRPr="00837F31" w:rsidRDefault="002E1D95">
      <w:pPr>
        <w:pageBreakBefore/>
        <w:rPr>
          <w:b/>
          <w:bCs/>
          <w:sz w:val="36"/>
          <w:szCs w:val="36"/>
        </w:rPr>
      </w:pPr>
      <w:r w:rsidRPr="00837F31">
        <w:rPr>
          <w:b/>
          <w:bCs/>
          <w:sz w:val="36"/>
          <w:szCs w:val="36"/>
        </w:rPr>
        <w:lastRenderedPageBreak/>
        <w:t>Úvod do problematiky</w:t>
      </w:r>
    </w:p>
    <w:p w:rsidR="002E1D95" w:rsidRPr="00837F31" w:rsidRDefault="00841F48">
      <w:pPr>
        <w:rPr>
          <w:sz w:val="28"/>
          <w:szCs w:val="28"/>
          <w:u w:val="single"/>
        </w:rPr>
      </w:pPr>
      <w:r w:rsidRPr="00837F31">
        <w:rPr>
          <w:sz w:val="28"/>
          <w:szCs w:val="28"/>
          <w:u w:val="single"/>
        </w:rPr>
        <w:t>Přepětí</w:t>
      </w:r>
    </w:p>
    <w:p w:rsidR="00841F48" w:rsidRPr="00837F31" w:rsidRDefault="0061327A" w:rsidP="00D62BFF">
      <w:pPr>
        <w:rPr>
          <w:szCs w:val="24"/>
        </w:rPr>
      </w:pPr>
      <w:r w:rsidRPr="00837F31">
        <w:rPr>
          <w:szCs w:val="24"/>
        </w:rPr>
        <w:t xml:space="preserve">Přepětí je napětí vyšší než jmenovité napětí. Je-li však napětí v povolené toleranci (+5% nn a +10% vn, vvn a zvn) hovoříme o nadpětí. O přepětí hovoříme tehdy, platí-li: </w:t>
      </w:r>
      <m:oMath>
        <m:f>
          <m:fPr>
            <m:ctrlPr>
              <w:rPr>
                <w:rFonts w:ascii="Cambria Math"/>
                <w:i/>
                <w:szCs w:val="24"/>
              </w:rPr>
            </m:ctrlPr>
          </m:fPr>
          <m:num>
            <m:r>
              <w:rPr>
                <w:rFonts w:ascii="Cambria Math" w:hAnsi="Cambria Math"/>
                <w:szCs w:val="24"/>
              </w:rPr>
              <m:t>U</m:t>
            </m:r>
          </m:num>
          <m:den>
            <m:sSub>
              <m:sSubPr>
                <m:ctrlPr>
                  <w:rPr>
                    <w:rFonts w:ascii="Cambria Math"/>
                    <w:i/>
                    <w:szCs w:val="24"/>
                  </w:rPr>
                </m:ctrlPr>
              </m:sSubPr>
              <m:e>
                <m:r>
                  <w:rPr>
                    <w:rFonts w:ascii="Cambria Math" w:hAnsi="Cambria Math"/>
                    <w:szCs w:val="24"/>
                  </w:rPr>
                  <m:t>U</m:t>
                </m:r>
              </m:e>
              <m:sub>
                <m:r>
                  <w:rPr>
                    <w:rFonts w:ascii="Cambria Math" w:hAnsi="Cambria Math"/>
                    <w:szCs w:val="24"/>
                  </w:rPr>
                  <m:t>N</m:t>
                </m:r>
              </m:sub>
            </m:sSub>
          </m:den>
        </m:f>
        <m:r>
          <w:rPr>
            <w:rFonts w:ascii="Cambria Math"/>
            <w:szCs w:val="24"/>
          </w:rPr>
          <m:t>&gt;1,1</m:t>
        </m:r>
      </m:oMath>
      <w:r w:rsidR="00D62BFF" w:rsidRPr="00837F31">
        <w:rPr>
          <w:szCs w:val="24"/>
        </w:rPr>
        <w:t>.</w:t>
      </w:r>
    </w:p>
    <w:p w:rsidR="00D62BFF" w:rsidRPr="00837F31" w:rsidRDefault="00D62BFF" w:rsidP="00D62BFF">
      <w:pPr>
        <w:rPr>
          <w:szCs w:val="24"/>
        </w:rPr>
      </w:pPr>
      <w:r w:rsidRPr="00837F31">
        <w:rPr>
          <w:szCs w:val="24"/>
        </w:rPr>
        <w:t>Přepětí rozdělujeme na atmosférické (blesk, indukovaný náboj, kosmické), provozní (Ferrantiův jev, zemní spojení, atd.) a zotavené napětí (na el. přístrojích při přerušení proudu).</w:t>
      </w:r>
    </w:p>
    <w:p w:rsidR="00D62BFF" w:rsidRPr="00837F31" w:rsidRDefault="00D62BFF" w:rsidP="00D62BFF">
      <w:pPr>
        <w:rPr>
          <w:szCs w:val="24"/>
        </w:rPr>
      </w:pPr>
      <w:r w:rsidRPr="00837F31">
        <w:rPr>
          <w:szCs w:val="24"/>
        </w:rPr>
        <w:tab/>
        <w:t>Ochrana proti přepětí se obecně rozděluje na vnější (zabra</w:t>
      </w:r>
      <w:r w:rsidR="00F651E7">
        <w:rPr>
          <w:szCs w:val="24"/>
        </w:rPr>
        <w:t>ňuje</w:t>
      </w:r>
      <w:r w:rsidRPr="00837F31">
        <w:rPr>
          <w:szCs w:val="24"/>
        </w:rPr>
        <w:t xml:space="preserve"> škodám, které mohou způsobit požár nebo mechanické poškození - hromosvod) a vnitřní (omezuj</w:t>
      </w:r>
      <w:r w:rsidR="00F651E7">
        <w:rPr>
          <w:szCs w:val="24"/>
        </w:rPr>
        <w:t>e</w:t>
      </w:r>
      <w:r w:rsidRPr="00837F31">
        <w:rPr>
          <w:szCs w:val="24"/>
        </w:rPr>
        <w:t xml:space="preserve"> účinky elmag. pole na vnitřní elektrická zařízení - svodiče přepětí)</w:t>
      </w:r>
      <w:r w:rsidR="00D1589E" w:rsidRPr="00837F31">
        <w:rPr>
          <w:szCs w:val="24"/>
        </w:rPr>
        <w:t>.</w:t>
      </w:r>
      <w:r w:rsidR="00D1589E" w:rsidRPr="00837F31">
        <w:rPr>
          <w:szCs w:val="24"/>
          <w:vertAlign w:val="superscript"/>
        </w:rPr>
        <w:t>1</w:t>
      </w:r>
    </w:p>
    <w:p w:rsidR="005B22CA" w:rsidRPr="00837F31" w:rsidRDefault="005B22CA" w:rsidP="00D62BFF">
      <w:pPr>
        <w:rPr>
          <w:sz w:val="28"/>
          <w:szCs w:val="28"/>
          <w:u w:val="single"/>
        </w:rPr>
      </w:pPr>
      <w:r w:rsidRPr="00837F31">
        <w:rPr>
          <w:sz w:val="28"/>
          <w:szCs w:val="28"/>
          <w:u w:val="single"/>
        </w:rPr>
        <w:t>Svodiče přepětí</w:t>
      </w:r>
    </w:p>
    <w:p w:rsidR="00BB77DB" w:rsidRPr="00837F31" w:rsidRDefault="000972CB" w:rsidP="00BB77DB">
      <w:pPr>
        <w:rPr>
          <w:szCs w:val="24"/>
        </w:rPr>
      </w:pPr>
      <w:r w:rsidRPr="00837F31">
        <w:rPr>
          <w:szCs w:val="24"/>
        </w:rPr>
        <w:t xml:space="preserve">Provedení svodičů přepětí je dáno tvarem jiskřiště a způsobem, kterým přerušují, popř. omezují následný proud. Nejjednodušší je ochranné jiskřiště, které je součástí vysokonapěťového přístroje. Jako vlastní svodič přepětí slouží již samostatně vestavěné ochranné zařízení nazývané růžková bleskojistka. Aby se provoz sítě při působení svodiče přepětí nepřerušil a svodič přepětí byl po zapůsobení ihned připraven k </w:t>
      </w:r>
      <w:r w:rsidR="00F651E7">
        <w:rPr>
          <w:szCs w:val="24"/>
        </w:rPr>
        <w:t>další činnosti</w:t>
      </w:r>
      <w:r w:rsidRPr="00837F31">
        <w:rPr>
          <w:szCs w:val="24"/>
        </w:rPr>
        <w:t>, je nutné aby sám přerušil následný proud. Musí být proto vybaven zhášedlem. Dle principu se typ svodiče se zhášedlem nazývá trubkový, vyfukovací nebo Torokova trubice.</w:t>
      </w:r>
    </w:p>
    <w:p w:rsidR="005B22CA" w:rsidRPr="00837F31" w:rsidRDefault="00BB77DB" w:rsidP="00D62BFF">
      <w:pPr>
        <w:rPr>
          <w:szCs w:val="24"/>
        </w:rPr>
      </w:pPr>
      <w:r w:rsidRPr="00837F31">
        <w:rPr>
          <w:szCs w:val="24"/>
        </w:rPr>
        <w:tab/>
        <w:t xml:space="preserve"> Prostředkem k účinnému omezení následného proudu je nelineární rezistor závislý na velikosti napětí a zapojený sériově s jiskřištěm nebo soustavou dílčích jiskřišť. Nelineární rezistor má tvar válečku vyrobeného lisováním a spékáním směsi karbidu křemíku vhodného zrnění a různých pojiv. Při vysokém napětí má malý odpor, při snížení napětí vzrůstá naopak </w:t>
      </w:r>
      <w:r w:rsidR="00F651E7">
        <w:rPr>
          <w:szCs w:val="24"/>
        </w:rPr>
        <w:t xml:space="preserve">odpor </w:t>
      </w:r>
      <w:r w:rsidRPr="00837F31">
        <w:rPr>
          <w:szCs w:val="24"/>
        </w:rPr>
        <w:t>na velkou hodnotu.</w:t>
      </w:r>
      <w:r w:rsidR="009C4D9B" w:rsidRPr="00837F31">
        <w:rPr>
          <w:szCs w:val="24"/>
          <w:vertAlign w:val="superscript"/>
        </w:rPr>
        <w:t>2</w:t>
      </w:r>
    </w:p>
    <w:p w:rsidR="00BB77DB" w:rsidRPr="00837F31" w:rsidRDefault="00C02A32" w:rsidP="00BB77DB">
      <w:pPr>
        <w:rPr>
          <w:sz w:val="28"/>
          <w:szCs w:val="28"/>
          <w:u w:val="single"/>
        </w:rPr>
      </w:pPr>
      <w:r w:rsidRPr="00837F31">
        <w:rPr>
          <w:sz w:val="28"/>
          <w:szCs w:val="28"/>
          <w:u w:val="single"/>
        </w:rPr>
        <w:t>Ventilová bleskojistka</w:t>
      </w:r>
    </w:p>
    <w:p w:rsidR="00D62BFF" w:rsidRPr="00837F31" w:rsidRDefault="00C02A32" w:rsidP="00D62BFF">
      <w:pPr>
        <w:rPr>
          <w:sz w:val="28"/>
          <w:szCs w:val="28"/>
          <w:u w:val="single"/>
        </w:rPr>
      </w:pPr>
      <w:r w:rsidRPr="00837F31">
        <w:rPr>
          <w:szCs w:val="24"/>
        </w:rPr>
        <w:t xml:space="preserve">Skládá se z jiskřišť zapojených do série a z nelineárních do série zapojených rezistorů. Jiskřiště i rezistory se vkládají buďto do porcelánového pouzdra - keramický izolátor nebo do pouzdra opatřeného gumovou izolací - gumový izolátor. Při normálním jmenovitém napětí </w:t>
      </w:r>
      <m:oMath>
        <m:sSub>
          <m:sSubPr>
            <m:ctrlPr>
              <w:rPr>
                <w:rFonts w:ascii="Cambria Math"/>
                <w:i/>
                <w:szCs w:val="24"/>
              </w:rPr>
            </m:ctrlPr>
          </m:sSubPr>
          <m:e>
            <m:r>
              <w:rPr>
                <w:rFonts w:ascii="Cambria Math" w:hAnsi="Cambria Math"/>
                <w:szCs w:val="24"/>
              </w:rPr>
              <m:t>U</m:t>
            </m:r>
          </m:e>
          <m:sub>
            <m:r>
              <w:rPr>
                <w:rFonts w:ascii="Cambria Math" w:hAnsi="Cambria Math"/>
                <w:szCs w:val="24"/>
              </w:rPr>
              <m:t>N</m:t>
            </m:r>
          </m:sub>
        </m:sSub>
      </m:oMath>
      <w:r w:rsidRPr="00837F31">
        <w:rPr>
          <w:szCs w:val="24"/>
        </w:rPr>
        <w:t xml:space="preserve"> nebo při nadpětí je elektrické pole </w:t>
      </w:r>
      <m:oMath>
        <m:r>
          <w:rPr>
            <w:rFonts w:ascii="Cambria Math" w:hAnsi="Cambria Math"/>
            <w:szCs w:val="24"/>
          </w:rPr>
          <m:t>E</m:t>
        </m:r>
      </m:oMath>
      <w:r w:rsidRPr="00837F31">
        <w:rPr>
          <w:szCs w:val="24"/>
        </w:rPr>
        <w:t xml:space="preserve"> mezi hroty jiskřiště menší než průrazná el. pevnost vzduchu </w:t>
      </w:r>
      <m:oMath>
        <m:sSub>
          <m:sSubPr>
            <m:ctrlPr>
              <w:rPr>
                <w:rFonts w:ascii="Cambria Math"/>
                <w:i/>
                <w:szCs w:val="24"/>
              </w:rPr>
            </m:ctrlPr>
          </m:sSubPr>
          <m:e>
            <m:r>
              <w:rPr>
                <w:rFonts w:ascii="Cambria Math" w:hAnsi="Cambria Math"/>
                <w:szCs w:val="24"/>
              </w:rPr>
              <m:t>E</m:t>
            </m:r>
          </m:e>
          <m:sub>
            <m:r>
              <w:rPr>
                <w:rFonts w:ascii="Cambria Math" w:hAnsi="Cambria Math"/>
                <w:szCs w:val="24"/>
              </w:rPr>
              <m:t>p</m:t>
            </m:r>
          </m:sub>
        </m:sSub>
      </m:oMath>
      <w:r w:rsidRPr="00837F31">
        <w:rPr>
          <w:szCs w:val="24"/>
        </w:rPr>
        <w:t xml:space="preserve">. Jiskřiště má tedy mezi hroty izolační odpor řádově stovky </w:t>
      </w:r>
      <m:oMath>
        <m:r>
          <w:rPr>
            <w:rFonts w:ascii="Cambria Math" w:hAnsi="Cambria Math"/>
            <w:szCs w:val="24"/>
          </w:rPr>
          <m:t>M</m:t>
        </m:r>
        <m:r>
          <m:rPr>
            <m:sty m:val="p"/>
          </m:rPr>
          <w:rPr>
            <w:rFonts w:ascii="Cambria Math"/>
            <w:color w:val="000000"/>
            <w:szCs w:val="24"/>
            <w:lang w:eastAsia="cs-CZ"/>
          </w:rPr>
          <m:t>Ω</m:t>
        </m:r>
      </m:oMath>
      <w:r w:rsidRPr="00837F31">
        <w:rPr>
          <w:color w:val="000000"/>
          <w:szCs w:val="24"/>
          <w:lang w:eastAsia="cs-CZ"/>
        </w:rPr>
        <w:t>. Při přepětí překročí intenzita el. pole el. pevnost vzduchu, který je mezi hroty a vznikne el. oblouk. Vedení postižené přepětím tedy uzemníme - způsobíme zkrat a přepětí svedeme do země.</w:t>
      </w:r>
      <w:r w:rsidR="009C4D9B" w:rsidRPr="00837F31">
        <w:rPr>
          <w:color w:val="000000"/>
          <w:szCs w:val="24"/>
          <w:vertAlign w:val="superscript"/>
          <w:lang w:eastAsia="cs-CZ"/>
        </w:rPr>
        <w:t>1</w:t>
      </w:r>
    </w:p>
    <w:p w:rsidR="00D62BFF" w:rsidRPr="00837F31" w:rsidRDefault="00D62BFF" w:rsidP="00D62BFF">
      <w:pPr>
        <w:rPr>
          <w:sz w:val="28"/>
          <w:szCs w:val="28"/>
          <w:u w:val="single"/>
        </w:rPr>
      </w:pPr>
    </w:p>
    <w:p w:rsidR="00D62BFF" w:rsidRPr="00837F31" w:rsidRDefault="00D62BFF" w:rsidP="00D62BFF">
      <w:pPr>
        <w:rPr>
          <w:szCs w:val="24"/>
        </w:rPr>
      </w:pPr>
    </w:p>
    <w:p w:rsidR="002E1D95" w:rsidRPr="00837F31" w:rsidRDefault="002E1D95">
      <w:pPr>
        <w:pageBreakBefore/>
      </w:pPr>
      <w:r w:rsidRPr="00837F31">
        <w:rPr>
          <w:b/>
          <w:bCs/>
          <w:sz w:val="36"/>
          <w:szCs w:val="36"/>
        </w:rPr>
        <w:lastRenderedPageBreak/>
        <w:t>Úkoly měření</w:t>
      </w:r>
    </w:p>
    <w:p w:rsidR="0008511C" w:rsidRPr="00837F31" w:rsidRDefault="0008511C" w:rsidP="0008511C">
      <w:pPr>
        <w:numPr>
          <w:ilvl w:val="0"/>
          <w:numId w:val="1"/>
        </w:numPr>
        <w:suppressAutoHyphens w:val="0"/>
        <w:autoSpaceDE w:val="0"/>
        <w:autoSpaceDN w:val="0"/>
        <w:spacing w:line="240" w:lineRule="auto"/>
      </w:pPr>
      <w:r w:rsidRPr="00837F31">
        <w:t>Změřit a nakreslit V-A charakteristiku tří různých odporníků ventilových bleskojistek.</w:t>
      </w:r>
    </w:p>
    <w:p w:rsidR="002E1D95" w:rsidRPr="00837F31" w:rsidRDefault="002E1D95">
      <w:pPr>
        <w:rPr>
          <w:szCs w:val="24"/>
        </w:rPr>
      </w:pPr>
    </w:p>
    <w:p w:rsidR="002E1D95" w:rsidRPr="00837F31" w:rsidRDefault="002E1D95">
      <w:pPr>
        <w:rPr>
          <w:szCs w:val="24"/>
        </w:rPr>
      </w:pPr>
    </w:p>
    <w:p w:rsidR="002E1D95" w:rsidRPr="00837F31" w:rsidRDefault="002E1D95">
      <w:r w:rsidRPr="00837F31">
        <w:rPr>
          <w:b/>
          <w:bCs/>
          <w:sz w:val="36"/>
          <w:szCs w:val="36"/>
        </w:rPr>
        <w:t>Schéma zapojení</w:t>
      </w:r>
    </w:p>
    <w:p w:rsidR="002E1D95" w:rsidRPr="00837F31" w:rsidRDefault="0008511C">
      <w:pPr>
        <w:jc w:val="center"/>
        <w:rPr>
          <w:i/>
        </w:rPr>
      </w:pPr>
      <w:r w:rsidRPr="00837F31">
        <w:object w:dxaOrig="6901" w:dyaOrig="3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84.9pt" o:ole="" fillcolor="window">
            <v:imagedata r:id="rId8" o:title=""/>
          </v:shape>
          <o:OLEObject Type="Embed" ProgID="PBrush" ShapeID="_x0000_i1025" DrawAspect="Content" ObjectID="_1522506696" r:id="rId9"/>
        </w:object>
      </w:r>
    </w:p>
    <w:p w:rsidR="002E1D95" w:rsidRPr="00837F31" w:rsidRDefault="002E1D95">
      <w:pPr>
        <w:jc w:val="center"/>
      </w:pPr>
      <w:r w:rsidRPr="00837F31">
        <w:rPr>
          <w:i/>
        </w:rPr>
        <w:t xml:space="preserve">Obr. 1: Schéma zapojení pro </w:t>
      </w:r>
      <w:r w:rsidR="0008511C" w:rsidRPr="00837F31">
        <w:rPr>
          <w:i/>
        </w:rPr>
        <w:t>měření V-A charakteristik</w:t>
      </w:r>
    </w:p>
    <w:p w:rsidR="002E1D95" w:rsidRPr="00837F31" w:rsidRDefault="002E1D95">
      <w:pPr>
        <w:jc w:val="center"/>
      </w:pPr>
    </w:p>
    <w:p w:rsidR="002E1D95" w:rsidRPr="00837F31" w:rsidRDefault="0008511C">
      <w:pPr>
        <w:jc w:val="center"/>
        <w:rPr>
          <w:i/>
        </w:rPr>
      </w:pPr>
      <w:r w:rsidRPr="00837F31">
        <w:object w:dxaOrig="4771" w:dyaOrig="3600">
          <v:shape id="_x0000_i1026" type="#_x0000_t75" style="width:241.9pt;height:183.15pt" o:ole="" fillcolor="window">
            <v:imagedata r:id="rId10" o:title=""/>
          </v:shape>
          <o:OLEObject Type="Embed" ProgID="PBrush" ShapeID="_x0000_i1026" DrawAspect="Content" ObjectID="_1522506697" r:id="rId11"/>
        </w:object>
      </w:r>
    </w:p>
    <w:p w:rsidR="002E1D95" w:rsidRPr="00837F31" w:rsidRDefault="002E1D95">
      <w:pPr>
        <w:jc w:val="center"/>
        <w:rPr>
          <w:b/>
          <w:bCs/>
          <w:sz w:val="36"/>
          <w:szCs w:val="36"/>
        </w:rPr>
      </w:pPr>
      <w:r w:rsidRPr="00837F31">
        <w:rPr>
          <w:i/>
        </w:rPr>
        <w:t xml:space="preserve">Obr. 2: </w:t>
      </w:r>
      <w:r w:rsidR="0008511C" w:rsidRPr="00837F31">
        <w:rPr>
          <w:i/>
        </w:rPr>
        <w:t>Označení rozměrů odporníku (variátoru)</w:t>
      </w:r>
    </w:p>
    <w:p w:rsidR="002E1D95" w:rsidRPr="00837F31" w:rsidRDefault="002E1D95">
      <w:pPr>
        <w:pageBreakBefore/>
      </w:pPr>
      <w:r w:rsidRPr="00837F31">
        <w:rPr>
          <w:b/>
          <w:bCs/>
          <w:sz w:val="36"/>
          <w:szCs w:val="36"/>
        </w:rPr>
        <w:lastRenderedPageBreak/>
        <w:t>Naměřené</w:t>
      </w:r>
      <w:r w:rsidR="00AA3E27" w:rsidRPr="00837F31">
        <w:rPr>
          <w:b/>
          <w:bCs/>
          <w:sz w:val="36"/>
          <w:szCs w:val="36"/>
        </w:rPr>
        <w:t xml:space="preserve"> a vypočtené</w:t>
      </w:r>
      <w:r w:rsidRPr="00837F31">
        <w:rPr>
          <w:b/>
          <w:bCs/>
          <w:sz w:val="36"/>
          <w:szCs w:val="36"/>
        </w:rPr>
        <w:t xml:space="preserve"> hodnoty</w:t>
      </w:r>
    </w:p>
    <w:p w:rsidR="002E1D95" w:rsidRPr="00837F31" w:rsidRDefault="002E1D95">
      <w:pPr>
        <w:jc w:val="left"/>
      </w:pPr>
    </w:p>
    <w:p w:rsidR="002E1D95" w:rsidRPr="00837F31" w:rsidRDefault="002E1D95">
      <w:pPr>
        <w:jc w:val="left"/>
      </w:pPr>
      <w:r w:rsidRPr="00837F31">
        <w:t>Tabulka 1: Naměřené</w:t>
      </w:r>
      <w:r w:rsidR="00D4199F" w:rsidRPr="00837F31">
        <w:t xml:space="preserve"> a vypočtené hodnoty</w:t>
      </w:r>
      <w:r w:rsidR="00AA3E27" w:rsidRPr="00837F31">
        <w:t xml:space="preserve"> pro V-A charakteristiku</w:t>
      </w:r>
    </w:p>
    <w:tbl>
      <w:tblPr>
        <w:tblW w:w="10049" w:type="dxa"/>
        <w:tblInd w:w="-214" w:type="dxa"/>
        <w:tblLayout w:type="fixed"/>
        <w:tblCellMar>
          <w:left w:w="70" w:type="dxa"/>
          <w:right w:w="70" w:type="dxa"/>
        </w:tblCellMar>
        <w:tblLook w:val="04A0"/>
      </w:tblPr>
      <w:tblGrid>
        <w:gridCol w:w="466"/>
        <w:gridCol w:w="710"/>
        <w:gridCol w:w="644"/>
        <w:gridCol w:w="1083"/>
        <w:gridCol w:w="794"/>
        <w:gridCol w:w="794"/>
        <w:gridCol w:w="794"/>
        <w:gridCol w:w="794"/>
        <w:gridCol w:w="794"/>
        <w:gridCol w:w="794"/>
        <w:gridCol w:w="794"/>
        <w:gridCol w:w="794"/>
        <w:gridCol w:w="794"/>
      </w:tblGrid>
      <w:tr w:rsidR="00A777D5" w:rsidRPr="00837F31" w:rsidTr="004B1F9A">
        <w:trPr>
          <w:trHeight w:val="300"/>
        </w:trPr>
        <w:tc>
          <w:tcPr>
            <w:tcW w:w="4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b/>
                <w:bCs/>
                <w:color w:val="000000"/>
                <w:sz w:val="20"/>
                <w:lang w:eastAsia="cs-CZ"/>
              </w:rPr>
            </w:pPr>
            <w:r w:rsidRPr="00A777D5">
              <w:rPr>
                <w:b/>
                <w:bCs/>
                <w:color w:val="000000"/>
                <w:sz w:val="20"/>
                <w:lang w:eastAsia="cs-CZ"/>
              </w:rPr>
              <w:t>1</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d [cm]</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l [cm]</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U [V]</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100</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200</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300</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400</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500</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609</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662</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699</w:t>
            </w:r>
          </w:p>
        </w:tc>
      </w:tr>
      <w:tr w:rsidR="00A777D5" w:rsidRPr="00837F31" w:rsidTr="004B1F9A">
        <w:trPr>
          <w:trHeight w:val="360"/>
        </w:trPr>
        <w:tc>
          <w:tcPr>
            <w:tcW w:w="466" w:type="dxa"/>
            <w:vMerge/>
            <w:tcBorders>
              <w:top w:val="single" w:sz="4" w:space="0" w:color="auto"/>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5</w:t>
            </w:r>
          </w:p>
        </w:tc>
        <w:tc>
          <w:tcPr>
            <w:tcW w:w="6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1</w:t>
            </w: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nahoru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0,15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0,38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0,64</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0,93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1,26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1,80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2,10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2,30</w:t>
            </w:r>
          </w:p>
        </w:tc>
      </w:tr>
      <w:tr w:rsidR="00A777D5" w:rsidRPr="00837F31" w:rsidTr="004B1F9A">
        <w:trPr>
          <w:trHeight w:val="360"/>
        </w:trPr>
        <w:tc>
          <w:tcPr>
            <w:tcW w:w="466" w:type="dxa"/>
            <w:vMerge/>
            <w:tcBorders>
              <w:top w:val="single" w:sz="4" w:space="0" w:color="auto"/>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nahoru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666,67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526,32</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468,75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430,11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396,83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338,33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315,24</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303,91</w:t>
            </w:r>
          </w:p>
        </w:tc>
      </w:tr>
      <w:tr w:rsidR="00A777D5" w:rsidRPr="00837F31" w:rsidTr="004B1F9A">
        <w:trPr>
          <w:trHeight w:val="360"/>
        </w:trPr>
        <w:tc>
          <w:tcPr>
            <w:tcW w:w="466" w:type="dxa"/>
            <w:vMerge/>
            <w:tcBorders>
              <w:top w:val="single" w:sz="4" w:space="0" w:color="auto"/>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dolů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0,17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0,40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0,70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1,10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1,50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1,90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2,20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2,50</w:t>
            </w:r>
          </w:p>
        </w:tc>
      </w:tr>
      <w:tr w:rsidR="00A777D5" w:rsidRPr="00837F31" w:rsidTr="004B1F9A">
        <w:trPr>
          <w:trHeight w:val="360"/>
        </w:trPr>
        <w:tc>
          <w:tcPr>
            <w:tcW w:w="466" w:type="dxa"/>
            <w:vMerge/>
            <w:tcBorders>
              <w:top w:val="single" w:sz="4" w:space="0" w:color="auto"/>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dolů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588,24</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500,00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428,57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363,64</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333,33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320,53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300,91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279,60</w:t>
            </w:r>
          </w:p>
        </w:tc>
      </w:tr>
      <w:tr w:rsidR="00A777D5" w:rsidRPr="00837F31" w:rsidTr="004B1F9A">
        <w:trPr>
          <w:trHeight w:val="300"/>
        </w:trPr>
        <w:tc>
          <w:tcPr>
            <w:tcW w:w="46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b/>
                <w:bCs/>
                <w:color w:val="000000"/>
                <w:sz w:val="20"/>
                <w:lang w:eastAsia="cs-CZ"/>
              </w:rPr>
            </w:pPr>
            <w:r w:rsidRPr="00A777D5">
              <w:rPr>
                <w:b/>
                <w:bCs/>
                <w:color w:val="000000"/>
                <w:sz w:val="20"/>
                <w:lang w:eastAsia="cs-CZ"/>
              </w:rPr>
              <w:t>2</w:t>
            </w:r>
          </w:p>
        </w:tc>
        <w:tc>
          <w:tcPr>
            <w:tcW w:w="710"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d [cm]</w:t>
            </w:r>
          </w:p>
        </w:tc>
        <w:tc>
          <w:tcPr>
            <w:tcW w:w="64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l [cm]</w:t>
            </w: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U [V]</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655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692</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6</w:t>
            </w:r>
          </w:p>
        </w:tc>
        <w:tc>
          <w:tcPr>
            <w:tcW w:w="6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3</w:t>
            </w: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nahoru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0,46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1,27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2,75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4,70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7,98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12,90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16,57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19,65</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nahoru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217,39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157,48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109,09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85,11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62,66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46,51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39,53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35,22</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dolů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0,60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1,60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5,46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8,87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14,40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18,23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21,30</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dolů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166,67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125,00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98,36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73,26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56,37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41,67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35,93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32,49</w:t>
            </w:r>
          </w:p>
        </w:tc>
      </w:tr>
      <w:tr w:rsidR="00A777D5" w:rsidRPr="00837F31" w:rsidTr="004B1F9A">
        <w:trPr>
          <w:trHeight w:val="300"/>
        </w:trPr>
        <w:tc>
          <w:tcPr>
            <w:tcW w:w="46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b/>
                <w:bCs/>
                <w:color w:val="000000"/>
                <w:sz w:val="20"/>
                <w:lang w:eastAsia="cs-CZ"/>
              </w:rPr>
            </w:pPr>
            <w:r w:rsidRPr="00A777D5">
              <w:rPr>
                <w:b/>
                <w:bCs/>
                <w:color w:val="000000"/>
                <w:sz w:val="20"/>
                <w:lang w:eastAsia="cs-CZ"/>
              </w:rPr>
              <w:t>3</w:t>
            </w:r>
          </w:p>
        </w:tc>
        <w:tc>
          <w:tcPr>
            <w:tcW w:w="710"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d [cm]</w:t>
            </w:r>
          </w:p>
        </w:tc>
        <w:tc>
          <w:tcPr>
            <w:tcW w:w="64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l [cm]</w:t>
            </w: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U [V]</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400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478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537</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569</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6</w:t>
            </w:r>
          </w:p>
        </w:tc>
        <w:tc>
          <w:tcPr>
            <w:tcW w:w="6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2</w:t>
            </w: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nahoru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1,08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4,91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14,16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32,84</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60,40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75,90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93,30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111,70</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nahoru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92,59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40,73</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21,19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12,18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7,91</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6,69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5,76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5,09</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I</w:t>
            </w:r>
            <w:r w:rsidRPr="00A777D5">
              <w:rPr>
                <w:color w:val="000000"/>
                <w:sz w:val="20"/>
                <w:vertAlign w:val="subscript"/>
                <w:lang w:eastAsia="cs-CZ"/>
              </w:rPr>
              <w:t xml:space="preserve">dolů </w:t>
            </w:r>
            <w:r w:rsidRPr="00A777D5">
              <w:rPr>
                <w:color w:val="000000"/>
                <w:sz w:val="20"/>
                <w:lang w:eastAsia="cs-CZ"/>
              </w:rPr>
              <w:t>[mA]</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2,05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7,42</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20,75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46,20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74,80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87,90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96,20</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113,70</w:t>
            </w:r>
          </w:p>
        </w:tc>
      </w:tr>
      <w:tr w:rsidR="00A777D5" w:rsidRPr="00837F31" w:rsidTr="004B1F9A">
        <w:trPr>
          <w:trHeight w:val="360"/>
        </w:trPr>
        <w:tc>
          <w:tcPr>
            <w:tcW w:w="466"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b/>
                <w:bCs/>
                <w:color w:val="000000"/>
                <w:sz w:val="20"/>
                <w:lang w:eastAsia="cs-CZ"/>
              </w:rPr>
            </w:pPr>
          </w:p>
        </w:tc>
        <w:tc>
          <w:tcPr>
            <w:tcW w:w="710"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644" w:type="dxa"/>
            <w:vMerge/>
            <w:tcBorders>
              <w:top w:val="nil"/>
              <w:left w:val="single" w:sz="4" w:space="0" w:color="auto"/>
              <w:bottom w:val="single" w:sz="4" w:space="0" w:color="auto"/>
              <w:right w:val="single" w:sz="4" w:space="0" w:color="auto"/>
            </w:tcBorders>
            <w:vAlign w:val="center"/>
            <w:hideMark/>
          </w:tcPr>
          <w:p w:rsidR="00A777D5" w:rsidRPr="00A777D5" w:rsidRDefault="00A777D5" w:rsidP="00A777D5">
            <w:pPr>
              <w:suppressAutoHyphens w:val="0"/>
              <w:spacing w:line="240" w:lineRule="auto"/>
              <w:jc w:val="left"/>
              <w:rPr>
                <w:color w:val="000000"/>
                <w:sz w:val="20"/>
                <w:lang w:eastAsia="cs-CZ"/>
              </w:rPr>
            </w:pPr>
          </w:p>
        </w:tc>
        <w:tc>
          <w:tcPr>
            <w:tcW w:w="1083"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0"/>
                <w:lang w:eastAsia="cs-CZ"/>
              </w:rPr>
            </w:pPr>
            <w:r w:rsidRPr="00A777D5">
              <w:rPr>
                <w:color w:val="000000"/>
                <w:sz w:val="20"/>
                <w:lang w:eastAsia="cs-CZ"/>
              </w:rPr>
              <w:t>R</w:t>
            </w:r>
            <w:r w:rsidRPr="00A777D5">
              <w:rPr>
                <w:color w:val="000000"/>
                <w:sz w:val="20"/>
                <w:vertAlign w:val="subscript"/>
                <w:lang w:eastAsia="cs-CZ"/>
              </w:rPr>
              <w:t xml:space="preserve">dolů </w:t>
            </w:r>
            <w:r w:rsidRPr="00A777D5">
              <w:rPr>
                <w:color w:val="000000"/>
                <w:sz w:val="20"/>
                <w:lang w:eastAsia="cs-CZ"/>
              </w:rPr>
              <w:t>[kΩ]</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48,78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26,95</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14,46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8,66</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6,39</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5,78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5,58</w:t>
            </w:r>
          </w:p>
        </w:tc>
        <w:tc>
          <w:tcPr>
            <w:tcW w:w="794" w:type="dxa"/>
            <w:tcBorders>
              <w:top w:val="nil"/>
              <w:left w:val="nil"/>
              <w:bottom w:val="single" w:sz="4" w:space="0" w:color="auto"/>
              <w:right w:val="single" w:sz="4" w:space="0" w:color="auto"/>
            </w:tcBorders>
            <w:shd w:val="clear" w:color="auto" w:fill="auto"/>
            <w:noWrap/>
            <w:vAlign w:val="bottom"/>
            <w:hideMark/>
          </w:tcPr>
          <w:p w:rsidR="00A777D5" w:rsidRPr="00A777D5" w:rsidRDefault="00A777D5" w:rsidP="00A777D5">
            <w:pPr>
              <w:suppressAutoHyphens w:val="0"/>
              <w:spacing w:line="240" w:lineRule="auto"/>
              <w:jc w:val="center"/>
              <w:rPr>
                <w:color w:val="000000"/>
                <w:sz w:val="22"/>
                <w:szCs w:val="22"/>
                <w:lang w:eastAsia="cs-CZ"/>
              </w:rPr>
            </w:pPr>
            <w:r w:rsidRPr="00A777D5">
              <w:rPr>
                <w:color w:val="000000"/>
                <w:sz w:val="22"/>
                <w:szCs w:val="22"/>
                <w:lang w:eastAsia="cs-CZ"/>
              </w:rPr>
              <w:t>5,00</w:t>
            </w:r>
          </w:p>
        </w:tc>
      </w:tr>
    </w:tbl>
    <w:p w:rsidR="00A777D5" w:rsidRPr="00837F31" w:rsidRDefault="00A777D5">
      <w:pPr>
        <w:jc w:val="left"/>
        <w:rPr>
          <w:color w:val="000000"/>
          <w:szCs w:val="24"/>
        </w:rPr>
      </w:pPr>
    </w:p>
    <w:p w:rsidR="002E1D95" w:rsidRPr="00837F31" w:rsidRDefault="002E1D95">
      <w:pPr>
        <w:rPr>
          <w:b/>
          <w:bCs/>
          <w:sz w:val="36"/>
          <w:szCs w:val="36"/>
        </w:rPr>
      </w:pPr>
      <w:r w:rsidRPr="00837F31">
        <w:rPr>
          <w:b/>
          <w:bCs/>
          <w:sz w:val="36"/>
          <w:szCs w:val="36"/>
        </w:rPr>
        <w:t>Grafy</w:t>
      </w:r>
    </w:p>
    <w:p w:rsidR="002E1D95" w:rsidRPr="00837F31" w:rsidRDefault="00D62BFF">
      <w:pPr>
        <w:jc w:val="center"/>
        <w:rPr>
          <w:i/>
          <w:lang w:val="cs-CZ"/>
        </w:rPr>
      </w:pPr>
      <w:r w:rsidRPr="00837F31">
        <w:rPr>
          <w:noProof/>
          <w:lang w:eastAsia="cs-CZ"/>
        </w:rPr>
        <w:drawing>
          <wp:inline distT="0" distB="0" distL="0" distR="0">
            <wp:extent cx="5713355" cy="3385175"/>
            <wp:effectExtent l="12189" t="6096" r="5331" b="264"/>
            <wp:docPr id="12" name="Graf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1D95" w:rsidRPr="00837F31" w:rsidRDefault="002E1D95">
      <w:pPr>
        <w:jc w:val="center"/>
      </w:pPr>
      <w:r w:rsidRPr="00837F31">
        <w:rPr>
          <w:i/>
          <w:lang w:val="cs-CZ"/>
        </w:rPr>
        <w:t xml:space="preserve">Graf 1: V-A charakteristika </w:t>
      </w:r>
      <w:r w:rsidR="004B1F9A" w:rsidRPr="00837F31">
        <w:rPr>
          <w:i/>
        </w:rPr>
        <w:t>prvního měřeného vzorku</w:t>
      </w:r>
    </w:p>
    <w:p w:rsidR="002E1D95" w:rsidRPr="00837F31" w:rsidRDefault="002E1D95">
      <w:pPr>
        <w:rPr>
          <w:lang w:val="cs-CZ"/>
        </w:rPr>
      </w:pPr>
    </w:p>
    <w:p w:rsidR="002E1D95" w:rsidRPr="00837F31" w:rsidRDefault="00D62BFF">
      <w:pPr>
        <w:jc w:val="center"/>
        <w:rPr>
          <w:i/>
          <w:lang w:val="cs-CZ"/>
        </w:rPr>
      </w:pPr>
      <w:r w:rsidRPr="00837F31">
        <w:rPr>
          <w:noProof/>
          <w:lang w:eastAsia="cs-CZ"/>
        </w:rPr>
        <w:drawing>
          <wp:inline distT="0" distB="0" distL="0" distR="0">
            <wp:extent cx="5753491" cy="3385175"/>
            <wp:effectExtent l="12193" t="6096" r="7736" b="264"/>
            <wp:docPr id="14" name="Graf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B1F9A" w:rsidRDefault="002E1D95" w:rsidP="004B1F9A">
      <w:pPr>
        <w:jc w:val="center"/>
        <w:rPr>
          <w:i/>
        </w:rPr>
      </w:pPr>
      <w:r w:rsidRPr="00837F31">
        <w:rPr>
          <w:i/>
          <w:lang w:val="cs-CZ"/>
        </w:rPr>
        <w:t xml:space="preserve">Graf 2: </w:t>
      </w:r>
      <w:r w:rsidR="004B1F9A" w:rsidRPr="00837F31">
        <w:rPr>
          <w:i/>
          <w:lang w:val="cs-CZ"/>
        </w:rPr>
        <w:t xml:space="preserve">V-A charakteristika </w:t>
      </w:r>
      <w:r w:rsidR="004B1F9A" w:rsidRPr="00837F31">
        <w:rPr>
          <w:i/>
        </w:rPr>
        <w:t>druhého měřeného vzorku</w:t>
      </w:r>
    </w:p>
    <w:p w:rsidR="00622C70" w:rsidRDefault="00622C70" w:rsidP="004B1F9A">
      <w:pPr>
        <w:jc w:val="center"/>
        <w:rPr>
          <w:i/>
        </w:rPr>
      </w:pPr>
    </w:p>
    <w:p w:rsidR="00622C70" w:rsidRPr="00837F31" w:rsidRDefault="00622C70" w:rsidP="004B1F9A">
      <w:pPr>
        <w:jc w:val="center"/>
        <w:rPr>
          <w:i/>
        </w:rPr>
      </w:pPr>
    </w:p>
    <w:p w:rsidR="004B1F9A" w:rsidRPr="00837F31" w:rsidRDefault="00D62BFF" w:rsidP="004B1F9A">
      <w:pPr>
        <w:jc w:val="center"/>
        <w:rPr>
          <w:i/>
          <w:lang w:val="cs-CZ"/>
        </w:rPr>
      </w:pPr>
      <w:r w:rsidRPr="00837F31">
        <w:rPr>
          <w:noProof/>
          <w:lang w:eastAsia="cs-CZ"/>
        </w:rPr>
        <w:drawing>
          <wp:inline distT="0" distB="0" distL="0" distR="0">
            <wp:extent cx="5741741" cy="3385175"/>
            <wp:effectExtent l="12199" t="6096" r="8685" b="264"/>
            <wp:docPr id="17" name="Graf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B1F9A" w:rsidRPr="00837F31" w:rsidRDefault="004B1F9A" w:rsidP="004B1F9A">
      <w:pPr>
        <w:jc w:val="center"/>
        <w:rPr>
          <w:i/>
        </w:rPr>
      </w:pPr>
      <w:r w:rsidRPr="00837F31">
        <w:rPr>
          <w:i/>
          <w:lang w:val="cs-CZ"/>
        </w:rPr>
        <w:t xml:space="preserve">Graf </w:t>
      </w:r>
      <w:r w:rsidRPr="00837F31">
        <w:rPr>
          <w:i/>
        </w:rPr>
        <w:t>3</w:t>
      </w:r>
      <w:r w:rsidRPr="00837F31">
        <w:rPr>
          <w:i/>
          <w:lang w:val="cs-CZ"/>
        </w:rPr>
        <w:t xml:space="preserve">: V-A charakteristika </w:t>
      </w:r>
      <w:r w:rsidRPr="00837F31">
        <w:rPr>
          <w:i/>
        </w:rPr>
        <w:t>třetího měřeného vzorku</w:t>
      </w:r>
    </w:p>
    <w:p w:rsidR="00622C70" w:rsidRDefault="00622C70" w:rsidP="000E12D6">
      <w:pPr>
        <w:pStyle w:val="Nadpis1"/>
        <w:jc w:val="left"/>
        <w:rPr>
          <w:sz w:val="36"/>
          <w:szCs w:val="36"/>
        </w:rPr>
      </w:pPr>
    </w:p>
    <w:p w:rsidR="002E1D95" w:rsidRPr="00837F31" w:rsidRDefault="002E1D95" w:rsidP="000E12D6">
      <w:pPr>
        <w:pStyle w:val="Nadpis1"/>
        <w:jc w:val="left"/>
        <w:rPr>
          <w:sz w:val="36"/>
          <w:szCs w:val="36"/>
        </w:rPr>
      </w:pPr>
      <w:r w:rsidRPr="00837F31">
        <w:rPr>
          <w:sz w:val="36"/>
          <w:szCs w:val="36"/>
        </w:rPr>
        <w:t>Závěr</w:t>
      </w:r>
    </w:p>
    <w:p w:rsidR="000E12D6" w:rsidRPr="00837F31" w:rsidRDefault="001717C2" w:rsidP="000E12D6">
      <w:pPr>
        <w:rPr>
          <w:lang w:eastAsia="cs-CZ"/>
        </w:rPr>
      </w:pPr>
      <w:r>
        <w:rPr>
          <w:lang w:eastAsia="cs-CZ"/>
        </w:rPr>
        <w:t xml:space="preserve">Dle teoretických předpokladů by se měl průběh VA charakteristiky řídit </w:t>
      </w:r>
      <w:r w:rsidR="008F30B1">
        <w:rPr>
          <w:lang w:eastAsia="cs-CZ"/>
        </w:rPr>
        <w:t>podle</w:t>
      </w:r>
      <w:r>
        <w:rPr>
          <w:lang w:eastAsia="cs-CZ"/>
        </w:rPr>
        <w:t xml:space="preserve"> funkce </w:t>
      </w:r>
      <m:oMath>
        <m:r>
          <w:rPr>
            <w:rFonts w:ascii="Cambria Math" w:hAnsi="Cambria Math"/>
            <w:lang w:eastAsia="cs-CZ"/>
          </w:rPr>
          <m:t>U=A</m:t>
        </m:r>
        <m:sSup>
          <m:sSupPr>
            <m:ctrlPr>
              <w:rPr>
                <w:rFonts w:ascii="Cambria Math" w:hAnsi="Cambria Math"/>
                <w:i/>
                <w:lang w:eastAsia="cs-CZ"/>
              </w:rPr>
            </m:ctrlPr>
          </m:sSupPr>
          <m:e>
            <m:d>
              <m:dPr>
                <m:ctrlPr>
                  <w:rPr>
                    <w:rFonts w:ascii="Cambria Math" w:hAnsi="Cambria Math"/>
                    <w:i/>
                    <w:lang w:eastAsia="cs-CZ"/>
                  </w:rPr>
                </m:ctrlPr>
              </m:dPr>
              <m:e>
                <m:f>
                  <m:fPr>
                    <m:ctrlPr>
                      <w:rPr>
                        <w:rFonts w:ascii="Cambria Math" w:hAnsi="Cambria Math"/>
                        <w:i/>
                        <w:lang w:eastAsia="cs-CZ"/>
                      </w:rPr>
                    </m:ctrlPr>
                  </m:fPr>
                  <m:num>
                    <m:r>
                      <w:rPr>
                        <w:rFonts w:ascii="Cambria Math" w:hAnsi="Cambria Math"/>
                        <w:lang w:eastAsia="cs-CZ"/>
                      </w:rPr>
                      <m:t>I</m:t>
                    </m:r>
                  </m:num>
                  <m:den>
                    <m:sSub>
                      <m:sSubPr>
                        <m:ctrlPr>
                          <w:rPr>
                            <w:rFonts w:ascii="Cambria Math" w:hAnsi="Cambria Math"/>
                            <w:i/>
                            <w:lang w:eastAsia="cs-CZ"/>
                          </w:rPr>
                        </m:ctrlPr>
                      </m:sSubPr>
                      <m:e>
                        <m:r>
                          <w:rPr>
                            <w:rFonts w:ascii="Cambria Math" w:hAnsi="Cambria Math"/>
                            <w:lang w:eastAsia="cs-CZ"/>
                          </w:rPr>
                          <m:t>I</m:t>
                        </m:r>
                      </m:e>
                      <m:sub>
                        <m:r>
                          <w:rPr>
                            <w:rFonts w:ascii="Cambria Math" w:hAnsi="Cambria Math"/>
                            <w:lang w:eastAsia="cs-CZ"/>
                          </w:rPr>
                          <m:t>N</m:t>
                        </m:r>
                      </m:sub>
                    </m:sSub>
                  </m:den>
                </m:f>
              </m:e>
            </m:d>
          </m:e>
          <m:sup>
            <m:r>
              <w:rPr>
                <w:rFonts w:ascii="Cambria Math" w:hAnsi="Cambria Math"/>
                <w:lang w:eastAsia="cs-CZ"/>
              </w:rPr>
              <m:t>α</m:t>
            </m:r>
          </m:sup>
        </m:sSup>
      </m:oMath>
      <w:r>
        <w:rPr>
          <w:lang w:eastAsia="cs-CZ"/>
        </w:rPr>
        <w:t>. Z námi naměřených charakteristik lze potvrdit, že se až na drobné odchylky tvarově jedná o mocninné funkce. Při zvyšujícím se napětí</w:t>
      </w:r>
      <w:r w:rsidR="008F30B1">
        <w:rPr>
          <w:lang w:eastAsia="cs-CZ"/>
        </w:rPr>
        <w:t xml:space="preserve"> se postupně zmenšoval odpor a narůstal</w:t>
      </w:r>
      <w:r>
        <w:rPr>
          <w:lang w:eastAsia="cs-CZ"/>
        </w:rPr>
        <w:t xml:space="preserve"> proud. </w:t>
      </w:r>
      <w:r w:rsidRPr="00BB651F">
        <w:rPr>
          <w:color w:val="000000" w:themeColor="text1"/>
          <w:lang w:eastAsia="cs-CZ"/>
        </w:rPr>
        <w:t xml:space="preserve">Jelikož se odporníky průchodem proudu ohřály a tím vzrostla jejich vodivost </w:t>
      </w:r>
      <w:r w:rsidR="002179FA" w:rsidRPr="00BB651F">
        <w:rPr>
          <w:color w:val="000000" w:themeColor="text1"/>
          <w:lang w:eastAsia="cs-CZ"/>
        </w:rPr>
        <w:t xml:space="preserve">se průběh proudu </w:t>
      </w:r>
      <w:r w:rsidRPr="00BB651F">
        <w:rPr>
          <w:color w:val="000000" w:themeColor="text1"/>
          <w:lang w:eastAsia="cs-CZ"/>
        </w:rPr>
        <w:t xml:space="preserve">při měření směrem dolů (snižování napětí) měnil podle mírně odlišné křivky položené </w:t>
      </w:r>
      <w:r w:rsidR="00103B23" w:rsidRPr="00BB651F">
        <w:rPr>
          <w:color w:val="000000" w:themeColor="text1"/>
          <w:lang w:eastAsia="cs-CZ"/>
        </w:rPr>
        <w:t>výše</w:t>
      </w:r>
      <w:r w:rsidR="002179FA" w:rsidRPr="00BB651F">
        <w:rPr>
          <w:color w:val="000000" w:themeColor="text1"/>
          <w:lang w:eastAsia="cs-CZ"/>
        </w:rPr>
        <w:t xml:space="preserve"> než původní</w:t>
      </w:r>
      <w:r w:rsidRPr="00BB651F">
        <w:rPr>
          <w:color w:val="000000" w:themeColor="text1"/>
          <w:lang w:eastAsia="cs-CZ"/>
        </w:rPr>
        <w:t xml:space="preserve"> (pro stejná napětí protékal větší proud</w:t>
      </w:r>
      <w:r w:rsidRPr="00D81170">
        <w:rPr>
          <w:color w:val="000000" w:themeColor="text1"/>
          <w:lang w:eastAsia="cs-CZ"/>
        </w:rPr>
        <w:t>).</w:t>
      </w:r>
      <w:r w:rsidR="008F30B1" w:rsidRPr="00D81170">
        <w:rPr>
          <w:color w:val="000000" w:themeColor="text1"/>
          <w:lang w:eastAsia="cs-CZ"/>
        </w:rPr>
        <w:t xml:space="preserve"> Z měření </w:t>
      </w:r>
      <w:r w:rsidR="00786DBB" w:rsidRPr="00D81170">
        <w:rPr>
          <w:color w:val="000000" w:themeColor="text1"/>
          <w:lang w:eastAsia="cs-CZ"/>
        </w:rPr>
        <w:t>je</w:t>
      </w:r>
      <w:r w:rsidR="008F30B1" w:rsidRPr="00D81170">
        <w:rPr>
          <w:color w:val="000000" w:themeColor="text1"/>
          <w:lang w:eastAsia="cs-CZ"/>
        </w:rPr>
        <w:t xml:space="preserve"> patrný původ názvu "ventilová bleskojistka" - </w:t>
      </w:r>
      <w:r w:rsidR="003F017C" w:rsidRPr="00D81170">
        <w:rPr>
          <w:color w:val="000000" w:themeColor="text1"/>
          <w:lang w:eastAsia="cs-CZ"/>
        </w:rPr>
        <w:t>odporník se chová jako elektrický ventil.</w:t>
      </w:r>
      <w:r w:rsidR="00B03222" w:rsidRPr="00D81170">
        <w:rPr>
          <w:color w:val="000000" w:themeColor="text1"/>
          <w:lang w:eastAsia="cs-CZ"/>
        </w:rPr>
        <w:t xml:space="preserve"> Porovnání proudů protékajících jednotlivými vzorky při stejných hodnotách napětí na první pohled neprokázalo jasnou spojitost mezi rozměrem vzorku a velikostí odporu</w:t>
      </w:r>
      <w:r w:rsidR="00D81170">
        <w:rPr>
          <w:color w:val="000000" w:themeColor="text1"/>
          <w:lang w:eastAsia="cs-CZ"/>
        </w:rPr>
        <w:t>.</w:t>
      </w:r>
      <w:r w:rsidR="00B03222" w:rsidRPr="00D81170">
        <w:rPr>
          <w:color w:val="FF0000"/>
          <w:lang w:eastAsia="cs-CZ"/>
        </w:rPr>
        <w:t xml:space="preserve"> </w:t>
      </w:r>
      <w:r w:rsidR="00D81170" w:rsidRPr="00D81170">
        <w:rPr>
          <w:color w:val="000000" w:themeColor="text1"/>
          <w:lang w:eastAsia="cs-CZ"/>
        </w:rPr>
        <w:t>N</w:t>
      </w:r>
      <w:r w:rsidR="000F7E18" w:rsidRPr="00D81170">
        <w:rPr>
          <w:color w:val="000000" w:themeColor="text1"/>
          <w:lang w:eastAsia="cs-CZ"/>
        </w:rPr>
        <w:t>ejmenší hodnota proudu sice odpovídá</w:t>
      </w:r>
      <w:r w:rsidR="00D81170" w:rsidRPr="00D81170">
        <w:rPr>
          <w:color w:val="000000" w:themeColor="text1"/>
          <w:lang w:eastAsia="cs-CZ"/>
        </w:rPr>
        <w:t xml:space="preserve"> </w:t>
      </w:r>
      <w:r w:rsidR="000F7E18" w:rsidRPr="00D81170">
        <w:rPr>
          <w:color w:val="000000" w:themeColor="text1"/>
          <w:lang w:eastAsia="cs-CZ"/>
        </w:rPr>
        <w:t xml:space="preserve">nejmenšímu vzorku ovšem největší hodnota proudu náleží vzorku č.3, který je </w:t>
      </w:r>
      <w:r w:rsidR="00786DBB" w:rsidRPr="00D81170">
        <w:rPr>
          <w:color w:val="000000" w:themeColor="text1"/>
          <w:lang w:eastAsia="cs-CZ"/>
        </w:rPr>
        <w:t>však</w:t>
      </w:r>
      <w:r w:rsidR="000F7E18" w:rsidRPr="00D81170">
        <w:rPr>
          <w:color w:val="000000" w:themeColor="text1"/>
          <w:lang w:eastAsia="cs-CZ"/>
        </w:rPr>
        <w:t xml:space="preserve"> menší než vzorek č.2.</w:t>
      </w:r>
      <w:r w:rsidR="002A7BCB" w:rsidRPr="00D81170">
        <w:rPr>
          <w:color w:val="000000" w:themeColor="text1"/>
          <w:lang w:eastAsia="cs-CZ"/>
        </w:rPr>
        <w:t xml:space="preserve"> Jedním z možných vysvětlení je</w:t>
      </w:r>
      <w:r w:rsidR="001B5F8C" w:rsidRPr="00D81170">
        <w:rPr>
          <w:color w:val="000000" w:themeColor="text1"/>
          <w:lang w:eastAsia="cs-CZ"/>
        </w:rPr>
        <w:t xml:space="preserve"> vliv teploty,</w:t>
      </w:r>
      <w:r w:rsidR="002A1392" w:rsidRPr="00D81170">
        <w:rPr>
          <w:color w:val="000000" w:themeColor="text1"/>
          <w:lang w:eastAsia="cs-CZ"/>
        </w:rPr>
        <w:t xml:space="preserve"> </w:t>
      </w:r>
      <w:r w:rsidR="00A70C59" w:rsidRPr="00D81170">
        <w:rPr>
          <w:color w:val="000000" w:themeColor="text1"/>
          <w:lang w:eastAsia="cs-CZ"/>
        </w:rPr>
        <w:t>větší varistor se ohřívá méně než malý.</w:t>
      </w:r>
    </w:p>
    <w:p w:rsidR="002E1D95" w:rsidRPr="00837F31" w:rsidRDefault="002E1D95"/>
    <w:p w:rsidR="00CE4B91" w:rsidRDefault="00CE4B91">
      <w:pPr>
        <w:rPr>
          <w:b/>
          <w:sz w:val="36"/>
          <w:szCs w:val="36"/>
          <w:lang w:val="en-US"/>
        </w:rPr>
      </w:pPr>
      <w:r w:rsidRPr="00837F31">
        <w:rPr>
          <w:b/>
          <w:sz w:val="36"/>
          <w:szCs w:val="36"/>
          <w:lang w:val="en-US"/>
        </w:rPr>
        <w:t>Conclusion</w:t>
      </w:r>
    </w:p>
    <w:p w:rsidR="00F10597" w:rsidRPr="00837F31" w:rsidRDefault="00F10597">
      <w:pPr>
        <w:rPr>
          <w:b/>
          <w:sz w:val="36"/>
          <w:szCs w:val="36"/>
        </w:rPr>
      </w:pPr>
      <w:r w:rsidRPr="00F10597">
        <w:rPr>
          <w:lang w:val="en-US"/>
        </w:rPr>
        <w:t xml:space="preserve">According to theory, VA characteristic curve should </w:t>
      </w:r>
      <w:r w:rsidR="002179FA">
        <w:rPr>
          <w:lang w:val="en-US"/>
        </w:rPr>
        <w:t>cor</w:t>
      </w:r>
      <w:r w:rsidRPr="00F10597">
        <w:rPr>
          <w:lang w:val="en-US"/>
        </w:rPr>
        <w:t xml:space="preserve">respond </w:t>
      </w:r>
      <w:r w:rsidR="002179FA">
        <w:rPr>
          <w:lang w:val="en-US"/>
        </w:rPr>
        <w:t>with</w:t>
      </w:r>
      <w:r w:rsidRPr="00F10597">
        <w:rPr>
          <w:lang w:val="en-US"/>
        </w:rPr>
        <w:t xml:space="preserve"> function </w:t>
      </w:r>
      <m:oMath>
        <m:r>
          <w:rPr>
            <w:rFonts w:ascii="Cambria Math" w:hAnsi="Cambria Math"/>
            <w:lang w:val="en-US" w:eastAsia="cs-CZ"/>
          </w:rPr>
          <m:t>U</m:t>
        </m:r>
        <m:r>
          <w:rPr>
            <w:rFonts w:ascii="Cambria Math"/>
            <w:lang w:val="en-US" w:eastAsia="cs-CZ"/>
          </w:rPr>
          <m:t>=</m:t>
        </m:r>
        <m:r>
          <w:rPr>
            <w:rFonts w:ascii="Cambria Math" w:hAnsi="Cambria Math"/>
            <w:lang w:val="en-US" w:eastAsia="cs-CZ"/>
          </w:rPr>
          <m:t>A</m:t>
        </m:r>
        <m:sSup>
          <m:sSupPr>
            <m:ctrlPr>
              <w:rPr>
                <w:rFonts w:ascii="Cambria Math"/>
                <w:i/>
                <w:lang w:val="en-US" w:eastAsia="cs-CZ"/>
              </w:rPr>
            </m:ctrlPr>
          </m:sSupPr>
          <m:e>
            <m:d>
              <m:dPr>
                <m:ctrlPr>
                  <w:rPr>
                    <w:rFonts w:ascii="Cambria Math"/>
                    <w:i/>
                    <w:lang w:val="en-US" w:eastAsia="cs-CZ"/>
                  </w:rPr>
                </m:ctrlPr>
              </m:dPr>
              <m:e>
                <m:f>
                  <m:fPr>
                    <m:ctrlPr>
                      <w:rPr>
                        <w:rFonts w:ascii="Cambria Math"/>
                        <w:i/>
                        <w:lang w:val="en-US" w:eastAsia="cs-CZ"/>
                      </w:rPr>
                    </m:ctrlPr>
                  </m:fPr>
                  <m:num>
                    <m:r>
                      <w:rPr>
                        <w:rFonts w:ascii="Cambria Math" w:hAnsi="Cambria Math"/>
                        <w:lang w:val="en-US" w:eastAsia="cs-CZ"/>
                      </w:rPr>
                      <m:t>I</m:t>
                    </m:r>
                  </m:num>
                  <m:den>
                    <m:sSub>
                      <m:sSubPr>
                        <m:ctrlPr>
                          <w:rPr>
                            <w:rFonts w:ascii="Cambria Math"/>
                            <w:i/>
                            <w:lang w:val="en-US" w:eastAsia="cs-CZ"/>
                          </w:rPr>
                        </m:ctrlPr>
                      </m:sSubPr>
                      <m:e>
                        <m:r>
                          <w:rPr>
                            <w:rFonts w:ascii="Cambria Math" w:hAnsi="Cambria Math"/>
                            <w:lang w:val="en-US" w:eastAsia="cs-CZ"/>
                          </w:rPr>
                          <m:t>I</m:t>
                        </m:r>
                      </m:e>
                      <m:sub>
                        <m:r>
                          <w:rPr>
                            <w:rFonts w:ascii="Cambria Math" w:hAnsi="Cambria Math"/>
                            <w:lang w:val="en-US" w:eastAsia="cs-CZ"/>
                          </w:rPr>
                          <m:t>N</m:t>
                        </m:r>
                      </m:sub>
                    </m:sSub>
                  </m:den>
                </m:f>
              </m:e>
            </m:d>
          </m:e>
          <m:sup>
            <m:r>
              <w:rPr>
                <w:rFonts w:ascii="Cambria Math" w:hAnsi="Cambria Math"/>
                <w:lang w:val="en-US" w:eastAsia="cs-CZ"/>
              </w:rPr>
              <m:t>α</m:t>
            </m:r>
          </m:sup>
        </m:sSup>
      </m:oMath>
      <w:r w:rsidRPr="00F10597">
        <w:rPr>
          <w:lang w:val="en-US" w:eastAsia="cs-CZ"/>
        </w:rPr>
        <w:t xml:space="preserve">. </w:t>
      </w:r>
      <w:r>
        <w:rPr>
          <w:lang w:val="en-US" w:eastAsia="cs-CZ"/>
        </w:rPr>
        <w:t>For us, the measured characteristics, except for minor variations, correspond</w:t>
      </w:r>
      <w:r w:rsidR="00502EF0">
        <w:rPr>
          <w:lang w:val="en-US" w:eastAsia="cs-CZ"/>
        </w:rPr>
        <w:t>s</w:t>
      </w:r>
      <w:r>
        <w:rPr>
          <w:lang w:val="en-US" w:eastAsia="cs-CZ"/>
        </w:rPr>
        <w:t xml:space="preserve"> </w:t>
      </w:r>
      <w:r w:rsidR="002179FA">
        <w:rPr>
          <w:lang w:val="en-US" w:eastAsia="cs-CZ"/>
        </w:rPr>
        <w:t>with</w:t>
      </w:r>
      <w:r>
        <w:rPr>
          <w:lang w:val="en-US" w:eastAsia="cs-CZ"/>
        </w:rPr>
        <w:t xml:space="preserve"> the shape of power </w:t>
      </w:r>
      <w:r w:rsidR="00B4486B">
        <w:rPr>
          <w:lang w:val="en-US" w:eastAsia="cs-CZ"/>
        </w:rPr>
        <w:t>f</w:t>
      </w:r>
      <w:r>
        <w:rPr>
          <w:lang w:val="en-US" w:eastAsia="cs-CZ"/>
        </w:rPr>
        <w:t>un</w:t>
      </w:r>
      <w:r w:rsidR="00B4486B">
        <w:rPr>
          <w:lang w:val="en-US" w:eastAsia="cs-CZ"/>
        </w:rPr>
        <w:t>c</w:t>
      </w:r>
      <w:r>
        <w:rPr>
          <w:lang w:val="en-US" w:eastAsia="cs-CZ"/>
        </w:rPr>
        <w:t>tions.</w:t>
      </w:r>
      <w:r w:rsidR="002179FA">
        <w:rPr>
          <w:lang w:val="en-US" w:eastAsia="cs-CZ"/>
        </w:rPr>
        <w:t xml:space="preserve"> If we increase the voltage, the resistance drops and the current increases. Due to warming</w:t>
      </w:r>
      <w:r w:rsidR="002179FA" w:rsidRPr="002179FA">
        <w:rPr>
          <w:lang w:val="en-US" w:eastAsia="cs-CZ"/>
        </w:rPr>
        <w:t xml:space="preserve"> </w:t>
      </w:r>
      <w:r w:rsidR="00D81170">
        <w:rPr>
          <w:lang w:val="en-US" w:eastAsia="cs-CZ"/>
        </w:rPr>
        <w:t>resistances</w:t>
      </w:r>
      <w:r w:rsidR="002179FA" w:rsidRPr="002179FA">
        <w:rPr>
          <w:lang w:val="en-US" w:eastAsia="cs-CZ"/>
        </w:rPr>
        <w:t xml:space="preserve"> by </w:t>
      </w:r>
      <w:r w:rsidR="002179FA">
        <w:rPr>
          <w:lang w:val="en-US" w:eastAsia="cs-CZ"/>
        </w:rPr>
        <w:t>flowing</w:t>
      </w:r>
      <w:r w:rsidR="002179FA" w:rsidRPr="002179FA">
        <w:rPr>
          <w:lang w:val="en-US" w:eastAsia="cs-CZ"/>
        </w:rPr>
        <w:t xml:space="preserve"> current</w:t>
      </w:r>
      <w:r w:rsidR="002179FA">
        <w:rPr>
          <w:lang w:val="en-US" w:eastAsia="cs-CZ"/>
        </w:rPr>
        <w:t>, conductivity</w:t>
      </w:r>
      <w:r w:rsidR="002179FA" w:rsidRPr="002179FA">
        <w:rPr>
          <w:lang w:val="en-US" w:eastAsia="cs-CZ"/>
        </w:rPr>
        <w:t xml:space="preserve"> increase</w:t>
      </w:r>
      <w:r w:rsidR="002179FA">
        <w:rPr>
          <w:lang w:val="en-US" w:eastAsia="cs-CZ"/>
        </w:rPr>
        <w:t>s and when we decreas</w:t>
      </w:r>
      <w:r w:rsidR="00502EF0">
        <w:rPr>
          <w:lang w:val="en-US" w:eastAsia="cs-CZ"/>
        </w:rPr>
        <w:t>e</w:t>
      </w:r>
      <w:r w:rsidR="002179FA">
        <w:rPr>
          <w:lang w:val="en-US" w:eastAsia="cs-CZ"/>
        </w:rPr>
        <w:t xml:space="preserve"> voltage, current curve </w:t>
      </w:r>
      <w:r w:rsidR="00502EF0">
        <w:rPr>
          <w:lang w:val="en-US" w:eastAsia="cs-CZ"/>
        </w:rPr>
        <w:t>corresponds with</w:t>
      </w:r>
      <w:r w:rsidR="002179FA" w:rsidRPr="002179FA">
        <w:rPr>
          <w:lang w:val="en-US" w:eastAsia="cs-CZ"/>
        </w:rPr>
        <w:t xml:space="preserve"> a slightly different curve lying above</w:t>
      </w:r>
      <w:r w:rsidR="002179FA">
        <w:rPr>
          <w:lang w:val="en-US" w:eastAsia="cs-CZ"/>
        </w:rPr>
        <w:t xml:space="preserve"> the original</w:t>
      </w:r>
      <w:r w:rsidR="002179FA" w:rsidRPr="002179FA">
        <w:rPr>
          <w:lang w:val="en-US" w:eastAsia="cs-CZ"/>
        </w:rPr>
        <w:t xml:space="preserve"> (for the same voltage </w:t>
      </w:r>
      <w:r w:rsidR="002179FA">
        <w:rPr>
          <w:lang w:val="en-US" w:eastAsia="cs-CZ"/>
        </w:rPr>
        <w:t>was current value higher</w:t>
      </w:r>
      <w:r w:rsidR="002179FA" w:rsidRPr="002179FA">
        <w:rPr>
          <w:lang w:val="en-US" w:eastAsia="cs-CZ"/>
        </w:rPr>
        <w:t>).</w:t>
      </w:r>
      <w:r w:rsidR="0014779F">
        <w:rPr>
          <w:lang w:val="en-US" w:eastAsia="cs-CZ"/>
        </w:rPr>
        <w:t xml:space="preserve"> </w:t>
      </w:r>
      <w:r w:rsidR="0014779F" w:rsidRPr="0014779F">
        <w:rPr>
          <w:lang w:val="en-US" w:eastAsia="cs-CZ"/>
        </w:rPr>
        <w:t xml:space="preserve">From the measurements is </w:t>
      </w:r>
      <w:r w:rsidR="00AE1D0C">
        <w:rPr>
          <w:lang w:val="en-US" w:eastAsia="cs-CZ"/>
        </w:rPr>
        <w:t>obvious</w:t>
      </w:r>
      <w:r w:rsidR="0014779F" w:rsidRPr="0014779F">
        <w:rPr>
          <w:lang w:val="en-US" w:eastAsia="cs-CZ"/>
        </w:rPr>
        <w:t xml:space="preserve"> origin of the name "valve arrester" - resist</w:t>
      </w:r>
      <w:r w:rsidR="00D81170">
        <w:rPr>
          <w:lang w:val="en-US" w:eastAsia="cs-CZ"/>
        </w:rPr>
        <w:t>ances</w:t>
      </w:r>
      <w:r w:rsidR="0014779F" w:rsidRPr="0014779F">
        <w:rPr>
          <w:lang w:val="en-US" w:eastAsia="cs-CZ"/>
        </w:rPr>
        <w:t xml:space="preserve"> </w:t>
      </w:r>
      <w:r w:rsidR="00D81170">
        <w:rPr>
          <w:lang w:val="en-US" w:eastAsia="cs-CZ"/>
        </w:rPr>
        <w:t>behave</w:t>
      </w:r>
      <w:r w:rsidR="0014779F" w:rsidRPr="0014779F">
        <w:rPr>
          <w:lang w:val="en-US" w:eastAsia="cs-CZ"/>
        </w:rPr>
        <w:t xml:space="preserve"> as an electric valve</w:t>
      </w:r>
      <w:r w:rsidR="00502EF0">
        <w:rPr>
          <w:lang w:val="en-US" w:eastAsia="cs-CZ"/>
        </w:rPr>
        <w:t>s</w:t>
      </w:r>
      <w:r w:rsidR="0014779F" w:rsidRPr="0014779F">
        <w:rPr>
          <w:lang w:val="en-US" w:eastAsia="cs-CZ"/>
        </w:rPr>
        <w:t>.</w:t>
      </w:r>
      <w:r w:rsidR="00D81170">
        <w:rPr>
          <w:lang w:val="en-US" w:eastAsia="cs-CZ"/>
        </w:rPr>
        <w:t xml:space="preserve"> When we compare</w:t>
      </w:r>
      <w:r w:rsidR="00D81170" w:rsidRPr="00D81170">
        <w:rPr>
          <w:lang w:val="en-US" w:eastAsia="cs-CZ"/>
        </w:rPr>
        <w:t xml:space="preserve"> the currents flowing through the sample at the same voltage va</w:t>
      </w:r>
      <w:r w:rsidR="00D81170">
        <w:rPr>
          <w:lang w:val="en-US" w:eastAsia="cs-CZ"/>
        </w:rPr>
        <w:t>lue, at first glance there</w:t>
      </w:r>
      <w:r w:rsidR="00D81170" w:rsidRPr="00D81170">
        <w:rPr>
          <w:lang w:val="en-US" w:eastAsia="cs-CZ"/>
        </w:rPr>
        <w:t xml:space="preserve"> is not obvious correlation bet</w:t>
      </w:r>
      <w:r w:rsidR="00D81170">
        <w:rPr>
          <w:lang w:val="en-US" w:eastAsia="cs-CZ"/>
        </w:rPr>
        <w:t>ween the size of the sample</w:t>
      </w:r>
      <w:r w:rsidR="00D81170" w:rsidRPr="00D81170">
        <w:rPr>
          <w:lang w:val="en-US" w:eastAsia="cs-CZ"/>
        </w:rPr>
        <w:t xml:space="preserve"> and resistance</w:t>
      </w:r>
      <w:r w:rsidR="00D81170">
        <w:rPr>
          <w:lang w:val="en-US" w:eastAsia="cs-CZ"/>
        </w:rPr>
        <w:t xml:space="preserve">. The lowest current value corresponds </w:t>
      </w:r>
      <w:r w:rsidR="00502EF0">
        <w:rPr>
          <w:lang w:val="en-US" w:eastAsia="cs-CZ"/>
        </w:rPr>
        <w:t>with</w:t>
      </w:r>
      <w:r w:rsidR="00D81170">
        <w:rPr>
          <w:lang w:val="en-US" w:eastAsia="cs-CZ"/>
        </w:rPr>
        <w:t xml:space="preserve"> the smallest sample, however, the highest current value belongs to sample n.3, which is smaller than the sample n.2. One possible explanation is the influence of temperature, bigger varistor warm up less than a small one.</w:t>
      </w:r>
    </w:p>
    <w:p w:rsidR="002E1D95" w:rsidRPr="00837F31" w:rsidRDefault="002E1D95">
      <w:pPr>
        <w:jc w:val="left"/>
        <w:rPr>
          <w:lang w:val="cs-CZ"/>
        </w:rPr>
      </w:pPr>
    </w:p>
    <w:p w:rsidR="002E1D95" w:rsidRPr="00837F31" w:rsidRDefault="002E1D95">
      <w:pPr>
        <w:rPr>
          <w:b/>
          <w:bCs/>
          <w:sz w:val="36"/>
          <w:szCs w:val="36"/>
          <w:lang w:val="en-US"/>
        </w:rPr>
      </w:pPr>
    </w:p>
    <w:p w:rsidR="002E1D95" w:rsidRPr="00837F31" w:rsidRDefault="002E1D95"/>
    <w:p w:rsidR="002E1D95" w:rsidRPr="00837F31" w:rsidRDefault="002E1D95">
      <w:r w:rsidRPr="00837F31">
        <w:rPr>
          <w:b/>
          <w:bCs/>
          <w:sz w:val="36"/>
          <w:szCs w:val="36"/>
        </w:rPr>
        <w:lastRenderedPageBreak/>
        <w:t>Podíl účastníků</w:t>
      </w:r>
    </w:p>
    <w:p w:rsidR="002E1D95" w:rsidRPr="00837F31" w:rsidRDefault="003C7B70">
      <w:r w:rsidRPr="00837F31">
        <w:t>Jan Kaska</w:t>
      </w:r>
      <w:r w:rsidRPr="00837F31">
        <w:tab/>
      </w:r>
      <w:r w:rsidRPr="00837F31">
        <w:tab/>
      </w:r>
      <w:r w:rsidRPr="00837F31">
        <w:tab/>
      </w:r>
      <w:r w:rsidR="00CC0F2E" w:rsidRPr="00837F31">
        <w:tab/>
      </w:r>
      <w:r w:rsidRPr="00837F31">
        <w:t>Zpracování referátu, překlad</w:t>
      </w:r>
    </w:p>
    <w:p w:rsidR="002E1D95" w:rsidRPr="00837F31" w:rsidRDefault="002E1D95">
      <w:pPr>
        <w:rPr>
          <w:szCs w:val="24"/>
        </w:rPr>
      </w:pPr>
      <w:r w:rsidRPr="00837F31">
        <w:rPr>
          <w:szCs w:val="24"/>
        </w:rPr>
        <w:t>Ondřej Šefl</w:t>
      </w:r>
      <w:r w:rsidR="003C7B70" w:rsidRPr="00837F31">
        <w:rPr>
          <w:szCs w:val="24"/>
        </w:rPr>
        <w:tab/>
      </w:r>
      <w:r w:rsidR="003C7B70" w:rsidRPr="00837F31">
        <w:rPr>
          <w:szCs w:val="24"/>
        </w:rPr>
        <w:tab/>
      </w:r>
      <w:r w:rsidR="003C7B70" w:rsidRPr="00837F31">
        <w:rPr>
          <w:szCs w:val="24"/>
        </w:rPr>
        <w:tab/>
      </w:r>
      <w:r w:rsidR="00CC0F2E" w:rsidRPr="00837F31">
        <w:rPr>
          <w:szCs w:val="24"/>
        </w:rPr>
        <w:tab/>
      </w:r>
      <w:r w:rsidR="003C7B70" w:rsidRPr="00837F31">
        <w:rPr>
          <w:szCs w:val="24"/>
        </w:rPr>
        <w:t>Regulace napětí</w:t>
      </w:r>
    </w:p>
    <w:p w:rsidR="003C7B70" w:rsidRPr="00837F31" w:rsidRDefault="003C7B70">
      <w:pPr>
        <w:rPr>
          <w:szCs w:val="24"/>
        </w:rPr>
      </w:pPr>
      <w:r w:rsidRPr="00837F31">
        <w:rPr>
          <w:szCs w:val="24"/>
        </w:rPr>
        <w:t>Josef Musil, Tomáš Pretl</w:t>
      </w:r>
      <w:r w:rsidRPr="00837F31">
        <w:rPr>
          <w:szCs w:val="24"/>
        </w:rPr>
        <w:tab/>
      </w:r>
      <w:r w:rsidR="00CC0F2E" w:rsidRPr="00837F31">
        <w:rPr>
          <w:szCs w:val="24"/>
        </w:rPr>
        <w:tab/>
      </w:r>
      <w:r w:rsidRPr="00837F31">
        <w:rPr>
          <w:szCs w:val="24"/>
        </w:rPr>
        <w:t>Odečítání hodnot z přístrojů</w:t>
      </w:r>
    </w:p>
    <w:p w:rsidR="002E1D95" w:rsidRPr="00837F31" w:rsidRDefault="002E1D95">
      <w:pPr>
        <w:rPr>
          <w:szCs w:val="24"/>
        </w:rPr>
      </w:pPr>
    </w:p>
    <w:p w:rsidR="002E1D95" w:rsidRPr="00837F31" w:rsidRDefault="002E1D95">
      <w:pPr>
        <w:rPr>
          <w:szCs w:val="24"/>
        </w:rPr>
      </w:pPr>
      <w:r w:rsidRPr="00837F31">
        <w:rPr>
          <w:b/>
          <w:bCs/>
          <w:sz w:val="36"/>
          <w:szCs w:val="36"/>
        </w:rPr>
        <w:t>Použitá literatura</w:t>
      </w:r>
    </w:p>
    <w:p w:rsidR="00785426" w:rsidRPr="00837F31" w:rsidRDefault="00785426" w:rsidP="00EE0B93">
      <w:pPr>
        <w:spacing w:line="240" w:lineRule="auto"/>
        <w:jc w:val="left"/>
        <w:rPr>
          <w:color w:val="000000" w:themeColor="text1"/>
          <w:szCs w:val="24"/>
          <w:shd w:val="clear" w:color="auto" w:fill="FFFFFF"/>
        </w:rPr>
      </w:pPr>
      <w:r w:rsidRPr="00837F31">
        <w:rPr>
          <w:iCs/>
          <w:color w:val="000000" w:themeColor="text1"/>
          <w:szCs w:val="24"/>
          <w:shd w:val="clear" w:color="auto" w:fill="FFFFFF"/>
        </w:rPr>
        <w:t>1</w:t>
      </w:r>
      <w:r w:rsidR="00723B41" w:rsidRPr="00837F31">
        <w:rPr>
          <w:iCs/>
          <w:color w:val="000000" w:themeColor="text1"/>
          <w:szCs w:val="24"/>
          <w:shd w:val="clear" w:color="auto" w:fill="FFFFFF"/>
        </w:rPr>
        <w:t>.</w:t>
      </w:r>
      <w:r w:rsidRPr="00837F31">
        <w:rPr>
          <w:iCs/>
          <w:color w:val="000000" w:themeColor="text1"/>
          <w:szCs w:val="24"/>
          <w:shd w:val="clear" w:color="auto" w:fill="FFFFFF"/>
        </w:rPr>
        <w:t xml:space="preserve"> </w:t>
      </w:r>
      <w:r w:rsidRPr="00837F31">
        <w:rPr>
          <w:i/>
          <w:iCs/>
          <w:color w:val="000000" w:themeColor="text1"/>
          <w:szCs w:val="24"/>
          <w:shd w:val="clear" w:color="auto" w:fill="FFFFFF"/>
        </w:rPr>
        <w:t>Elektrické přístroje</w:t>
      </w:r>
      <w:r w:rsidRPr="00837F31">
        <w:rPr>
          <w:color w:val="000000" w:themeColor="text1"/>
          <w:szCs w:val="24"/>
          <w:shd w:val="clear" w:color="auto" w:fill="FFFFFF"/>
        </w:rPr>
        <w:t>. 1.vyd. Praha: Nakladatelství technické literatury, 1985. 436 s.</w:t>
      </w:r>
    </w:p>
    <w:p w:rsidR="00EE0B93" w:rsidRPr="00837F31" w:rsidRDefault="00EE0B93" w:rsidP="00EE0B93">
      <w:pPr>
        <w:spacing w:line="240" w:lineRule="auto"/>
        <w:jc w:val="left"/>
        <w:rPr>
          <w:color w:val="000000" w:themeColor="text1"/>
          <w:szCs w:val="24"/>
          <w:shd w:val="clear" w:color="auto" w:fill="FFFFFF"/>
        </w:rPr>
      </w:pPr>
    </w:p>
    <w:p w:rsidR="00785426" w:rsidRPr="00837F31" w:rsidRDefault="00785426" w:rsidP="00EE0B93">
      <w:pPr>
        <w:spacing w:line="240" w:lineRule="auto"/>
        <w:jc w:val="left"/>
        <w:rPr>
          <w:color w:val="000000"/>
          <w:szCs w:val="24"/>
          <w:shd w:val="clear" w:color="auto" w:fill="FFFFFF"/>
        </w:rPr>
      </w:pPr>
      <w:r w:rsidRPr="00837F31">
        <w:rPr>
          <w:color w:val="000000"/>
          <w:szCs w:val="24"/>
          <w:shd w:val="clear" w:color="auto" w:fill="FFFFFF"/>
        </w:rPr>
        <w:t>2</w:t>
      </w:r>
      <w:r w:rsidR="00723B41" w:rsidRPr="00837F31">
        <w:rPr>
          <w:color w:val="000000"/>
          <w:szCs w:val="24"/>
          <w:shd w:val="clear" w:color="auto" w:fill="FFFFFF"/>
        </w:rPr>
        <w:t>.</w:t>
      </w:r>
      <w:r w:rsidRPr="00837F31">
        <w:rPr>
          <w:color w:val="000000"/>
          <w:szCs w:val="24"/>
          <w:shd w:val="clear" w:color="auto" w:fill="FFFFFF"/>
        </w:rPr>
        <w:t xml:space="preserve"> Přepětí a svodiče přepětí. In:</w:t>
      </w:r>
      <w:r w:rsidRPr="00837F31">
        <w:rPr>
          <w:rStyle w:val="apple-converted-space"/>
          <w:color w:val="000000"/>
          <w:szCs w:val="24"/>
          <w:shd w:val="clear" w:color="auto" w:fill="FFFFFF"/>
        </w:rPr>
        <w:t> </w:t>
      </w:r>
      <w:r w:rsidRPr="00837F31">
        <w:rPr>
          <w:i/>
          <w:iCs/>
          <w:color w:val="000000"/>
          <w:szCs w:val="24"/>
        </w:rPr>
        <w:t>Střední škola, Havířov-Šumbark: Elektrotechnika &amp; strojírenství</w:t>
      </w:r>
      <w:r w:rsidRPr="00837F31">
        <w:rPr>
          <w:rStyle w:val="apple-converted-space"/>
          <w:color w:val="000000"/>
          <w:szCs w:val="24"/>
          <w:shd w:val="clear" w:color="auto" w:fill="FFFFFF"/>
        </w:rPr>
        <w:t> </w:t>
      </w:r>
      <w:r w:rsidRPr="00837F31">
        <w:rPr>
          <w:color w:val="000000"/>
          <w:szCs w:val="24"/>
          <w:shd w:val="clear" w:color="auto" w:fill="FFFFFF"/>
        </w:rPr>
        <w:t>[online]. [cit. 2016-04-17]. Dostupné z: http://www.outech-havirov.cz/skola/files/knihovna_eltech/esp/prepeti_svodice_prepeti.pdf</w:t>
      </w:r>
    </w:p>
    <w:p w:rsidR="00EE0B93" w:rsidRPr="00837F31" w:rsidRDefault="00EE0B93" w:rsidP="00EE0B93">
      <w:pPr>
        <w:spacing w:line="240" w:lineRule="auto"/>
        <w:jc w:val="left"/>
        <w:rPr>
          <w:color w:val="000000"/>
          <w:szCs w:val="24"/>
          <w:shd w:val="clear" w:color="auto" w:fill="FFFFFF"/>
        </w:rPr>
      </w:pPr>
    </w:p>
    <w:p w:rsidR="00EE0B93" w:rsidRPr="00837F31" w:rsidRDefault="00EE0B93" w:rsidP="00EE0B93">
      <w:pPr>
        <w:spacing w:line="240" w:lineRule="auto"/>
        <w:jc w:val="left"/>
        <w:rPr>
          <w:color w:val="000000"/>
          <w:szCs w:val="24"/>
          <w:shd w:val="clear" w:color="auto" w:fill="FFFFFF"/>
        </w:rPr>
      </w:pPr>
      <w:r w:rsidRPr="00837F31">
        <w:rPr>
          <w:color w:val="000000"/>
          <w:szCs w:val="24"/>
          <w:shd w:val="clear" w:color="auto" w:fill="FFFFFF"/>
        </w:rPr>
        <w:t>3</w:t>
      </w:r>
      <w:r w:rsidR="00723B41" w:rsidRPr="00837F31">
        <w:rPr>
          <w:color w:val="000000"/>
          <w:szCs w:val="24"/>
          <w:shd w:val="clear" w:color="auto" w:fill="FFFFFF"/>
        </w:rPr>
        <w:t>.</w:t>
      </w:r>
      <w:r w:rsidRPr="00837F31">
        <w:rPr>
          <w:color w:val="000000"/>
          <w:szCs w:val="24"/>
          <w:shd w:val="clear" w:color="auto" w:fill="FFFFFF"/>
        </w:rPr>
        <w:t xml:space="preserve"> BEŠTA, M. Přepěťová ochrana. In:</w:t>
      </w:r>
      <w:r w:rsidRPr="00837F31">
        <w:rPr>
          <w:rStyle w:val="apple-converted-space"/>
          <w:color w:val="000000"/>
          <w:szCs w:val="24"/>
          <w:shd w:val="clear" w:color="auto" w:fill="FFFFFF"/>
        </w:rPr>
        <w:t> </w:t>
      </w:r>
      <w:r w:rsidRPr="00837F31">
        <w:rPr>
          <w:i/>
          <w:iCs/>
          <w:color w:val="000000"/>
          <w:szCs w:val="24"/>
        </w:rPr>
        <w:t>Studijní materiály elektro: pro učební obor elektrikář – slaboproud</w:t>
      </w:r>
      <w:r w:rsidRPr="00837F31">
        <w:rPr>
          <w:rStyle w:val="apple-converted-space"/>
          <w:color w:val="000000"/>
          <w:szCs w:val="24"/>
          <w:shd w:val="clear" w:color="auto" w:fill="FFFFFF"/>
        </w:rPr>
        <w:t> </w:t>
      </w:r>
      <w:r w:rsidRPr="00837F31">
        <w:rPr>
          <w:color w:val="000000"/>
          <w:szCs w:val="24"/>
          <w:shd w:val="clear" w:color="auto" w:fill="FFFFFF"/>
        </w:rPr>
        <w:t>[online]. [cit. 2016-04-17]. Dostupné z: http://www.mbest.cz/wp-content/uploads/2013/01/T1.6-P%C5%99ep%C4%9B%C5%A5ov%C3%A1-ochrana.pdf</w:t>
      </w:r>
    </w:p>
    <w:p w:rsidR="00785426" w:rsidRPr="00837F31" w:rsidRDefault="00785426" w:rsidP="00785426">
      <w:pPr>
        <w:jc w:val="left"/>
        <w:rPr>
          <w:color w:val="000000" w:themeColor="text1"/>
          <w:szCs w:val="24"/>
          <w:shd w:val="clear" w:color="auto" w:fill="FFFFFF"/>
        </w:rPr>
      </w:pPr>
    </w:p>
    <w:p w:rsidR="00785426" w:rsidRPr="00837F31" w:rsidRDefault="00785426" w:rsidP="00785426">
      <w:pPr>
        <w:jc w:val="left"/>
        <w:rPr>
          <w:color w:val="000000" w:themeColor="text1"/>
          <w:szCs w:val="24"/>
        </w:rPr>
      </w:pPr>
    </w:p>
    <w:sectPr w:rsidR="00785426" w:rsidRPr="00837F31">
      <w:headerReference w:type="default" r:id="rId15"/>
      <w:footerReference w:type="even" r:id="rId16"/>
      <w:footerReference w:type="default" r:id="rId17"/>
      <w:headerReference w:type="first" r:id="rId18"/>
      <w:footerReference w:type="first" r:id="rId19"/>
      <w:pgSz w:w="11906" w:h="16838"/>
      <w:pgMar w:top="1417" w:right="1417" w:bottom="1417" w:left="1417" w:header="708" w:footer="170" w:gutter="0"/>
      <w:cols w:space="708"/>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89D" w:rsidRDefault="008B089D">
      <w:pPr>
        <w:spacing w:line="240" w:lineRule="auto"/>
      </w:pPr>
      <w:r>
        <w:separator/>
      </w:r>
    </w:p>
  </w:endnote>
  <w:endnote w:type="continuationSeparator" w:id="1">
    <w:p w:rsidR="008B089D" w:rsidRDefault="008B08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5" w:rsidRDefault="002E1D9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5" w:rsidRDefault="002E1D95">
    <w:pPr>
      <w:pStyle w:val="Zpat"/>
      <w:jc w:val="center"/>
    </w:pPr>
    <w:fldSimple w:instr=" PAGE ">
      <w:r w:rsidR="00502EF0">
        <w:rPr>
          <w:noProof/>
        </w:rPr>
        <w:t>7</w:t>
      </w:r>
    </w:fldSimple>
  </w:p>
  <w:p w:rsidR="002E1D95" w:rsidRDefault="002E1D95">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5" w:rsidRDefault="002E1D9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89D" w:rsidRDefault="008B089D">
      <w:pPr>
        <w:spacing w:line="240" w:lineRule="auto"/>
      </w:pPr>
      <w:r>
        <w:separator/>
      </w:r>
    </w:p>
  </w:footnote>
  <w:footnote w:type="continuationSeparator" w:id="1">
    <w:p w:rsidR="008B089D" w:rsidRDefault="008B08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5" w:rsidRDefault="002E1D95">
    <w:pPr>
      <w:pStyle w:val="Zhlav"/>
    </w:pPr>
  </w:p>
  <w:p w:rsidR="002E1D95" w:rsidRDefault="002E1D95">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5" w:rsidRDefault="002E1D95">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lowerLetter"/>
      <w:lvlText w:val="%1)"/>
      <w:lvlJc w:val="left"/>
      <w:pPr>
        <w:tabs>
          <w:tab w:val="num" w:pos="0"/>
        </w:tabs>
        <w:ind w:left="720" w:hanging="360"/>
      </w:pPr>
      <w:rPr>
        <w:b/>
        <w:i/>
        <w:szCs w:val="24"/>
      </w:rPr>
    </w:lvl>
  </w:abstractNum>
  <w:abstractNum w:abstractNumId="1">
    <w:nsid w:val="00000002"/>
    <w:multiLevelType w:val="multilevel"/>
    <w:tmpl w:val="00000002"/>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BE19BF"/>
    <w:multiLevelType w:val="singleLevel"/>
    <w:tmpl w:val="F0D243A2"/>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0"/>
        <w:szCs w:val="20"/>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8"/>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9F3787"/>
    <w:rsid w:val="00004AF8"/>
    <w:rsid w:val="00036265"/>
    <w:rsid w:val="00055D19"/>
    <w:rsid w:val="0008511C"/>
    <w:rsid w:val="000972CB"/>
    <w:rsid w:val="000E12D6"/>
    <w:rsid w:val="000E38A0"/>
    <w:rsid w:val="000E581C"/>
    <w:rsid w:val="000F7E18"/>
    <w:rsid w:val="00103B23"/>
    <w:rsid w:val="00105EE3"/>
    <w:rsid w:val="00123D7D"/>
    <w:rsid w:val="001460E2"/>
    <w:rsid w:val="0014779F"/>
    <w:rsid w:val="001717C2"/>
    <w:rsid w:val="001B5F8C"/>
    <w:rsid w:val="001F09FA"/>
    <w:rsid w:val="00215EF2"/>
    <w:rsid w:val="002179FA"/>
    <w:rsid w:val="00242E0A"/>
    <w:rsid w:val="0026155D"/>
    <w:rsid w:val="002A1392"/>
    <w:rsid w:val="002A7BCB"/>
    <w:rsid w:val="002B0FEC"/>
    <w:rsid w:val="002E1D95"/>
    <w:rsid w:val="00324D3A"/>
    <w:rsid w:val="003A14C6"/>
    <w:rsid w:val="003C7B70"/>
    <w:rsid w:val="003E35FB"/>
    <w:rsid w:val="003F017C"/>
    <w:rsid w:val="003F04D9"/>
    <w:rsid w:val="0044494C"/>
    <w:rsid w:val="004907AD"/>
    <w:rsid w:val="004A59BF"/>
    <w:rsid w:val="004B1F9A"/>
    <w:rsid w:val="004B2855"/>
    <w:rsid w:val="004E72AD"/>
    <w:rsid w:val="00502EF0"/>
    <w:rsid w:val="00545F2C"/>
    <w:rsid w:val="00597260"/>
    <w:rsid w:val="005B22CA"/>
    <w:rsid w:val="0060143D"/>
    <w:rsid w:val="0061327A"/>
    <w:rsid w:val="00622C70"/>
    <w:rsid w:val="00683529"/>
    <w:rsid w:val="00700BDA"/>
    <w:rsid w:val="00723B41"/>
    <w:rsid w:val="00730B5A"/>
    <w:rsid w:val="00775822"/>
    <w:rsid w:val="00781182"/>
    <w:rsid w:val="00785426"/>
    <w:rsid w:val="00786DBB"/>
    <w:rsid w:val="007B0A1D"/>
    <w:rsid w:val="007C487F"/>
    <w:rsid w:val="00824245"/>
    <w:rsid w:val="00837F31"/>
    <w:rsid w:val="00841F48"/>
    <w:rsid w:val="00881632"/>
    <w:rsid w:val="008B089D"/>
    <w:rsid w:val="008F30B1"/>
    <w:rsid w:val="009366C9"/>
    <w:rsid w:val="009C4D9B"/>
    <w:rsid w:val="009F3787"/>
    <w:rsid w:val="00A34C1E"/>
    <w:rsid w:val="00A70C59"/>
    <w:rsid w:val="00A777D5"/>
    <w:rsid w:val="00AA3E27"/>
    <w:rsid w:val="00AE1D0C"/>
    <w:rsid w:val="00B03222"/>
    <w:rsid w:val="00B079A3"/>
    <w:rsid w:val="00B4486B"/>
    <w:rsid w:val="00B5177E"/>
    <w:rsid w:val="00B664B4"/>
    <w:rsid w:val="00B67009"/>
    <w:rsid w:val="00BB651F"/>
    <w:rsid w:val="00BB77DB"/>
    <w:rsid w:val="00BC751B"/>
    <w:rsid w:val="00BD6B2F"/>
    <w:rsid w:val="00C02A32"/>
    <w:rsid w:val="00CC0F2E"/>
    <w:rsid w:val="00CE4B91"/>
    <w:rsid w:val="00D1589E"/>
    <w:rsid w:val="00D31156"/>
    <w:rsid w:val="00D4199F"/>
    <w:rsid w:val="00D62BFF"/>
    <w:rsid w:val="00D71B98"/>
    <w:rsid w:val="00D81170"/>
    <w:rsid w:val="00D84DAB"/>
    <w:rsid w:val="00D91D0A"/>
    <w:rsid w:val="00E3487C"/>
    <w:rsid w:val="00E54A21"/>
    <w:rsid w:val="00EC3D19"/>
    <w:rsid w:val="00EE0B93"/>
    <w:rsid w:val="00F02D13"/>
    <w:rsid w:val="00F10597"/>
    <w:rsid w:val="00F118F0"/>
    <w:rsid w:val="00F43BBE"/>
    <w:rsid w:val="00F651E7"/>
    <w:rsid w:val="00FC57D9"/>
    <w:rsid w:val="00FD647D"/>
    <w:rsid w:val="00FD6F1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uppressAutoHyphens/>
      <w:spacing w:line="360" w:lineRule="auto"/>
      <w:jc w:val="both"/>
    </w:pPr>
    <w:rPr>
      <w:sz w:val="24"/>
      <w:lang w:eastAsia="ar-SA"/>
    </w:rPr>
  </w:style>
  <w:style w:type="paragraph" w:styleId="Nadpis1">
    <w:name w:val="heading 1"/>
    <w:basedOn w:val="Normln"/>
    <w:next w:val="Normln"/>
    <w:link w:val="Nadpis1Char"/>
    <w:qFormat/>
    <w:rsid w:val="00BD6B2F"/>
    <w:pPr>
      <w:keepNext/>
      <w:suppressAutoHyphens w:val="0"/>
      <w:autoSpaceDE w:val="0"/>
      <w:autoSpaceDN w:val="0"/>
      <w:spacing w:after="60" w:line="240" w:lineRule="auto"/>
      <w:jc w:val="center"/>
      <w:outlineLvl w:val="0"/>
    </w:pPr>
    <w:rPr>
      <w:b/>
      <w:bCs/>
      <w:kern w:val="28"/>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rPr>
      <w:b/>
      <w:i/>
      <w:szCs w:val="24"/>
    </w:rPr>
  </w:style>
  <w:style w:type="character" w:customStyle="1" w:styleId="WW8Num2z0">
    <w:name w:val="WW8Num2z0"/>
    <w:rPr>
      <w:b w:val="0"/>
      <w:i w:val="0"/>
      <w:sz w:val="24"/>
      <w:szCs w:val="24"/>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Standardnpsmoodstavce1">
    <w:name w:val="Standardní písmo odstavce1"/>
  </w:style>
  <w:style w:type="character" w:customStyle="1" w:styleId="hps">
    <w:name w:val="hps"/>
    <w:basedOn w:val="Standardnpsmoodstavce1"/>
  </w:style>
  <w:style w:type="character" w:customStyle="1" w:styleId="ZhlavChar">
    <w:name w:val="Záhlaví Char"/>
    <w:rPr>
      <w:rFonts w:ascii="Times New Roman" w:eastAsia="Times New Roman" w:hAnsi="Times New Roman" w:cs="Times New Roman"/>
      <w:sz w:val="24"/>
      <w:szCs w:val="20"/>
    </w:rPr>
  </w:style>
  <w:style w:type="character" w:customStyle="1" w:styleId="ZpatChar">
    <w:name w:val="Zápatí Char"/>
    <w:rPr>
      <w:rFonts w:ascii="Times New Roman" w:eastAsia="Times New Roman" w:hAnsi="Times New Roman" w:cs="Times New Roman"/>
      <w:sz w:val="24"/>
      <w:szCs w:val="20"/>
    </w:rPr>
  </w:style>
  <w:style w:type="character" w:customStyle="1" w:styleId="TextbublinyChar">
    <w:name w:val="Text bubliny Char"/>
    <w:rPr>
      <w:rFonts w:ascii="Tahoma" w:eastAsia="Times New Roman" w:hAnsi="Tahoma" w:cs="Tahoma"/>
      <w:sz w:val="16"/>
      <w:szCs w:val="16"/>
    </w:rPr>
  </w:style>
  <w:style w:type="character" w:customStyle="1" w:styleId="Symbolyproslovn">
    <w:name w:val="Symboly pro číslování"/>
  </w:style>
  <w:style w:type="character" w:customStyle="1" w:styleId="Odrky">
    <w:name w:val="Odrážky"/>
    <w:rPr>
      <w:rFonts w:ascii="OpenSymbol" w:eastAsia="OpenSymbol" w:hAnsi="OpenSymbol" w:cs="OpenSymbol"/>
    </w:rPr>
  </w:style>
  <w:style w:type="paragraph" w:customStyle="1" w:styleId="Nadpis">
    <w:name w:val="Nadpis"/>
    <w:basedOn w:val="Normln"/>
    <w:next w:val="Zkladntext"/>
    <w:pPr>
      <w:keepNext/>
      <w:spacing w:before="240" w:after="120"/>
    </w:pPr>
    <w:rPr>
      <w:rFonts w:ascii="Arial" w:eastAsia="Microsoft YaHei" w:hAnsi="Arial" w:cs="Mangal"/>
      <w:sz w:val="28"/>
      <w:szCs w:val="28"/>
    </w:rPr>
  </w:style>
  <w:style w:type="paragraph" w:styleId="Zkladntext">
    <w:name w:val="Body Text"/>
    <w:basedOn w:val="Normln"/>
    <w:pPr>
      <w:spacing w:after="120"/>
    </w:pPr>
  </w:style>
  <w:style w:type="paragraph" w:styleId="Seznam">
    <w:name w:val="List"/>
    <w:basedOn w:val="Zkladntext"/>
    <w:rPr>
      <w:rFonts w:cs="Mangal"/>
    </w:rPr>
  </w:style>
  <w:style w:type="paragraph" w:customStyle="1" w:styleId="Popisek">
    <w:name w:val="Popisek"/>
    <w:basedOn w:val="Normln"/>
    <w:pPr>
      <w:suppressLineNumbers/>
      <w:spacing w:before="120" w:after="120"/>
    </w:pPr>
    <w:rPr>
      <w:rFonts w:cs="Mangal"/>
      <w:i/>
      <w:iCs/>
      <w:szCs w:val="24"/>
    </w:rPr>
  </w:style>
  <w:style w:type="paragraph" w:customStyle="1" w:styleId="Rejstk">
    <w:name w:val="Rejstřík"/>
    <w:basedOn w:val="Normln"/>
    <w:pPr>
      <w:suppressLineNumbers/>
    </w:pPr>
    <w:rPr>
      <w:rFonts w:cs="Mangal"/>
    </w:rPr>
  </w:style>
  <w:style w:type="paragraph" w:customStyle="1" w:styleId="Texttabulky">
    <w:name w:val="Text tabulky"/>
    <w:pPr>
      <w:suppressAutoHyphens/>
    </w:pPr>
    <w:rPr>
      <w:color w:val="000000"/>
      <w:sz w:val="24"/>
      <w:lang w:eastAsia="ar-SA"/>
    </w:rPr>
  </w:style>
  <w:style w:type="paragraph" w:styleId="Zhlav">
    <w:name w:val="header"/>
    <w:basedOn w:val="Normln"/>
  </w:style>
  <w:style w:type="paragraph" w:styleId="Zpat">
    <w:name w:val="footer"/>
    <w:basedOn w:val="Normln"/>
  </w:style>
  <w:style w:type="paragraph" w:styleId="Textbubliny">
    <w:name w:val="Balloon Text"/>
    <w:basedOn w:val="Normln"/>
    <w:pPr>
      <w:spacing w:line="240" w:lineRule="auto"/>
    </w:pPr>
    <w:rPr>
      <w:rFonts w:ascii="Tahoma" w:hAnsi="Tahoma" w:cs="Tahoma"/>
      <w:sz w:val="16"/>
      <w:szCs w:val="16"/>
    </w:r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rPr>
  </w:style>
  <w:style w:type="character" w:customStyle="1" w:styleId="Nadpis1Char">
    <w:name w:val="Nadpis 1 Char"/>
    <w:basedOn w:val="Standardnpsmoodstavce"/>
    <w:link w:val="Nadpis1"/>
    <w:rsid w:val="00BD6B2F"/>
    <w:rPr>
      <w:b/>
      <w:bCs/>
      <w:kern w:val="28"/>
      <w:sz w:val="24"/>
      <w:szCs w:val="24"/>
    </w:rPr>
  </w:style>
  <w:style w:type="character" w:styleId="Zstupntext">
    <w:name w:val="Placeholder Text"/>
    <w:basedOn w:val="Standardnpsmoodstavce"/>
    <w:uiPriority w:val="99"/>
    <w:semiHidden/>
    <w:rsid w:val="00D62BFF"/>
    <w:rPr>
      <w:color w:val="808080"/>
    </w:rPr>
  </w:style>
  <w:style w:type="character" w:customStyle="1" w:styleId="apple-converted-space">
    <w:name w:val="apple-converted-space"/>
    <w:basedOn w:val="Standardnpsmoodstavce"/>
    <w:rsid w:val="00785426"/>
  </w:style>
</w:styles>
</file>

<file path=word/webSettings.xml><?xml version="1.0" encoding="utf-8"?>
<w:webSettings xmlns:r="http://schemas.openxmlformats.org/officeDocument/2006/relationships" xmlns:w="http://schemas.openxmlformats.org/wordprocessingml/2006/main">
  <w:divs>
    <w:div w:id="901718729">
      <w:bodyDiv w:val="1"/>
      <w:marLeft w:val="0"/>
      <w:marRight w:val="0"/>
      <w:marTop w:val="0"/>
      <w:marBottom w:val="0"/>
      <w:divBdr>
        <w:top w:val="none" w:sz="0" w:space="0" w:color="auto"/>
        <w:left w:val="none" w:sz="0" w:space="0" w:color="auto"/>
        <w:bottom w:val="none" w:sz="0" w:space="0" w:color="auto"/>
        <w:right w:val="none" w:sz="0" w:space="0" w:color="auto"/>
      </w:divBdr>
    </w:div>
    <w:div w:id="14719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EPR\tabulk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EPR\tabulk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EPR\tabulk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I=f(U)</a:t>
            </a:r>
            <a:r>
              <a:rPr lang="cs-CZ" baseline="0"/>
              <a:t>   </a:t>
            </a:r>
            <a:r>
              <a:rPr lang="cs-CZ"/>
              <a:t>Vzorek 1</a:t>
            </a:r>
          </a:p>
        </c:rich>
      </c:tx>
    </c:title>
    <c:plotArea>
      <c:layout/>
      <c:scatterChart>
        <c:scatterStyle val="lineMarker"/>
        <c:ser>
          <c:idx val="0"/>
          <c:order val="0"/>
          <c:tx>
            <c:strRef>
              <c:f>List1!$P$1</c:f>
              <c:strCache>
                <c:ptCount val="1"/>
                <c:pt idx="0">
                  <c:v>nahoru</c:v>
                </c:pt>
              </c:strCache>
            </c:strRef>
          </c:tx>
          <c:marker>
            <c:symbol val="plus"/>
            <c:size val="7"/>
          </c:marker>
          <c:xVal>
            <c:numRef>
              <c:f>List1!$E$1:$O$1</c:f>
              <c:numCache>
                <c:formatCode>General</c:formatCode>
                <c:ptCount val="11"/>
                <c:pt idx="0">
                  <c:v>9</c:v>
                </c:pt>
                <c:pt idx="1">
                  <c:v>100</c:v>
                </c:pt>
                <c:pt idx="2">
                  <c:v>200</c:v>
                </c:pt>
                <c:pt idx="3">
                  <c:v>300</c:v>
                </c:pt>
                <c:pt idx="4">
                  <c:v>400</c:v>
                </c:pt>
                <c:pt idx="5">
                  <c:v>500</c:v>
                </c:pt>
                <c:pt idx="6">
                  <c:v>609</c:v>
                </c:pt>
                <c:pt idx="7">
                  <c:v>662</c:v>
                </c:pt>
                <c:pt idx="8">
                  <c:v>699</c:v>
                </c:pt>
                <c:pt idx="9">
                  <c:v>720</c:v>
                </c:pt>
                <c:pt idx="10">
                  <c:v>743</c:v>
                </c:pt>
              </c:numCache>
            </c:numRef>
          </c:xVal>
          <c:yVal>
            <c:numRef>
              <c:f>List1!$E$2:$O$2</c:f>
              <c:numCache>
                <c:formatCode>0.00</c:formatCode>
                <c:ptCount val="11"/>
                <c:pt idx="0" formatCode="General">
                  <c:v>0</c:v>
                </c:pt>
                <c:pt idx="1">
                  <c:v>0.15000000000000005</c:v>
                </c:pt>
                <c:pt idx="2">
                  <c:v>0.38000000000000012</c:v>
                </c:pt>
                <c:pt idx="3">
                  <c:v>0.64000000000000024</c:v>
                </c:pt>
                <c:pt idx="4">
                  <c:v>0.93</c:v>
                </c:pt>
                <c:pt idx="5">
                  <c:v>1.26</c:v>
                </c:pt>
                <c:pt idx="6">
                  <c:v>1.8</c:v>
                </c:pt>
                <c:pt idx="7">
                  <c:v>2.1</c:v>
                </c:pt>
                <c:pt idx="8">
                  <c:v>2.2999999999999998</c:v>
                </c:pt>
                <c:pt idx="9">
                  <c:v>2.6</c:v>
                </c:pt>
                <c:pt idx="10">
                  <c:v>2.8</c:v>
                </c:pt>
              </c:numCache>
            </c:numRef>
          </c:yVal>
        </c:ser>
        <c:ser>
          <c:idx val="1"/>
          <c:order val="1"/>
          <c:tx>
            <c:strRef>
              <c:f>List1!$P$2</c:f>
              <c:strCache>
                <c:ptCount val="1"/>
                <c:pt idx="0">
                  <c:v>dolů</c:v>
                </c:pt>
              </c:strCache>
            </c:strRef>
          </c:tx>
          <c:marker>
            <c:symbol val="plus"/>
            <c:size val="7"/>
          </c:marker>
          <c:xVal>
            <c:numRef>
              <c:f>List1!$E$1:$O$1</c:f>
              <c:numCache>
                <c:formatCode>General</c:formatCode>
                <c:ptCount val="11"/>
                <c:pt idx="0">
                  <c:v>9</c:v>
                </c:pt>
                <c:pt idx="1">
                  <c:v>100</c:v>
                </c:pt>
                <c:pt idx="2">
                  <c:v>200</c:v>
                </c:pt>
                <c:pt idx="3">
                  <c:v>300</c:v>
                </c:pt>
                <c:pt idx="4">
                  <c:v>400</c:v>
                </c:pt>
                <c:pt idx="5">
                  <c:v>500</c:v>
                </c:pt>
                <c:pt idx="6">
                  <c:v>609</c:v>
                </c:pt>
                <c:pt idx="7">
                  <c:v>662</c:v>
                </c:pt>
                <c:pt idx="8">
                  <c:v>699</c:v>
                </c:pt>
                <c:pt idx="9">
                  <c:v>720</c:v>
                </c:pt>
                <c:pt idx="10">
                  <c:v>743</c:v>
                </c:pt>
              </c:numCache>
            </c:numRef>
          </c:xVal>
          <c:yVal>
            <c:numRef>
              <c:f>List1!$E$4:$O$4</c:f>
              <c:numCache>
                <c:formatCode>0.00</c:formatCode>
                <c:ptCount val="11"/>
                <c:pt idx="0" formatCode="General">
                  <c:v>0</c:v>
                </c:pt>
                <c:pt idx="1">
                  <c:v>0.17</c:v>
                </c:pt>
                <c:pt idx="2">
                  <c:v>0.4</c:v>
                </c:pt>
                <c:pt idx="3">
                  <c:v>0.70000000000000018</c:v>
                </c:pt>
                <c:pt idx="4">
                  <c:v>1.1000000000000001</c:v>
                </c:pt>
                <c:pt idx="5">
                  <c:v>1.5</c:v>
                </c:pt>
                <c:pt idx="6">
                  <c:v>1.9000000000000001</c:v>
                </c:pt>
                <c:pt idx="7">
                  <c:v>2.2000000000000002</c:v>
                </c:pt>
                <c:pt idx="8">
                  <c:v>2.5</c:v>
                </c:pt>
                <c:pt idx="9">
                  <c:v>2.7</c:v>
                </c:pt>
                <c:pt idx="10">
                  <c:v>2.8</c:v>
                </c:pt>
              </c:numCache>
            </c:numRef>
          </c:yVal>
        </c:ser>
        <c:axId val="105571456"/>
        <c:axId val="105616128"/>
      </c:scatterChart>
      <c:valAx>
        <c:axId val="105571456"/>
        <c:scaling>
          <c:orientation val="minMax"/>
          <c:max val="750"/>
          <c:min val="0"/>
        </c:scaling>
        <c:axPos val="b"/>
        <c:majorGridlines/>
        <c:minorGridlines/>
        <c:title>
          <c:tx>
            <c:rich>
              <a:bodyPr/>
              <a:lstStyle/>
              <a:p>
                <a:pPr>
                  <a:defRPr/>
                </a:pPr>
                <a:r>
                  <a:rPr lang="cs-CZ"/>
                  <a:t>U [V]</a:t>
                </a:r>
              </a:p>
            </c:rich>
          </c:tx>
        </c:title>
        <c:numFmt formatCode="General" sourceLinked="1"/>
        <c:tickLblPos val="nextTo"/>
        <c:crossAx val="105616128"/>
        <c:crosses val="autoZero"/>
        <c:crossBetween val="midCat"/>
        <c:majorUnit val="150"/>
      </c:valAx>
      <c:valAx>
        <c:axId val="105616128"/>
        <c:scaling>
          <c:orientation val="minMax"/>
        </c:scaling>
        <c:axPos val="l"/>
        <c:majorGridlines/>
        <c:title>
          <c:tx>
            <c:rich>
              <a:bodyPr rot="-5400000" vert="horz"/>
              <a:lstStyle/>
              <a:p>
                <a:pPr>
                  <a:defRPr/>
                </a:pPr>
                <a:r>
                  <a:rPr lang="cs-CZ"/>
                  <a:t>I [mA]</a:t>
                </a:r>
              </a:p>
            </c:rich>
          </c:tx>
        </c:title>
        <c:numFmt formatCode="General" sourceLinked="1"/>
        <c:tickLblPos val="nextTo"/>
        <c:crossAx val="10557145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I=f(U)   </a:t>
            </a:r>
            <a:r>
              <a:rPr lang="cs-CZ"/>
              <a:t>Vzorek 2</a:t>
            </a:r>
          </a:p>
        </c:rich>
      </c:tx>
    </c:title>
    <c:plotArea>
      <c:layout/>
      <c:scatterChart>
        <c:scatterStyle val="lineMarker"/>
        <c:ser>
          <c:idx val="0"/>
          <c:order val="0"/>
          <c:tx>
            <c:strRef>
              <c:f>List1!$P$1</c:f>
              <c:strCache>
                <c:ptCount val="1"/>
                <c:pt idx="0">
                  <c:v>nahoru</c:v>
                </c:pt>
              </c:strCache>
            </c:strRef>
          </c:tx>
          <c:marker>
            <c:symbol val="plus"/>
            <c:size val="7"/>
          </c:marker>
          <c:xVal>
            <c:numRef>
              <c:f>List1!$E$6:$O$6</c:f>
              <c:numCache>
                <c:formatCode>General</c:formatCode>
                <c:ptCount val="11"/>
                <c:pt idx="0">
                  <c:v>9</c:v>
                </c:pt>
                <c:pt idx="1">
                  <c:v>100</c:v>
                </c:pt>
                <c:pt idx="2">
                  <c:v>200</c:v>
                </c:pt>
                <c:pt idx="3">
                  <c:v>300</c:v>
                </c:pt>
                <c:pt idx="4">
                  <c:v>400</c:v>
                </c:pt>
                <c:pt idx="5">
                  <c:v>500</c:v>
                </c:pt>
                <c:pt idx="6">
                  <c:v>600</c:v>
                </c:pt>
                <c:pt idx="7">
                  <c:v>655</c:v>
                </c:pt>
                <c:pt idx="8">
                  <c:v>692</c:v>
                </c:pt>
                <c:pt idx="9">
                  <c:v>720</c:v>
                </c:pt>
                <c:pt idx="10">
                  <c:v>740</c:v>
                </c:pt>
              </c:numCache>
            </c:numRef>
          </c:xVal>
          <c:yVal>
            <c:numRef>
              <c:f>List1!$E$7:$O$7</c:f>
              <c:numCache>
                <c:formatCode>0.00</c:formatCode>
                <c:ptCount val="11"/>
                <c:pt idx="0" formatCode="General">
                  <c:v>0</c:v>
                </c:pt>
                <c:pt idx="1">
                  <c:v>0.46</c:v>
                </c:pt>
                <c:pt idx="2">
                  <c:v>1.27</c:v>
                </c:pt>
                <c:pt idx="3">
                  <c:v>2.75</c:v>
                </c:pt>
                <c:pt idx="4">
                  <c:v>4.7</c:v>
                </c:pt>
                <c:pt idx="5">
                  <c:v>7.98</c:v>
                </c:pt>
                <c:pt idx="6">
                  <c:v>12.9</c:v>
                </c:pt>
                <c:pt idx="7">
                  <c:v>16.57</c:v>
                </c:pt>
                <c:pt idx="8">
                  <c:v>19.649999999999999</c:v>
                </c:pt>
                <c:pt idx="9">
                  <c:v>22.7</c:v>
                </c:pt>
                <c:pt idx="10">
                  <c:v>24.95</c:v>
                </c:pt>
              </c:numCache>
            </c:numRef>
          </c:yVal>
        </c:ser>
        <c:ser>
          <c:idx val="1"/>
          <c:order val="1"/>
          <c:tx>
            <c:strRef>
              <c:f>List1!$P$2</c:f>
              <c:strCache>
                <c:ptCount val="1"/>
                <c:pt idx="0">
                  <c:v>dolů</c:v>
                </c:pt>
              </c:strCache>
            </c:strRef>
          </c:tx>
          <c:marker>
            <c:symbol val="plus"/>
            <c:size val="7"/>
          </c:marker>
          <c:xVal>
            <c:numRef>
              <c:f>List1!$E$6:$O$6</c:f>
              <c:numCache>
                <c:formatCode>General</c:formatCode>
                <c:ptCount val="11"/>
                <c:pt idx="0">
                  <c:v>9</c:v>
                </c:pt>
                <c:pt idx="1">
                  <c:v>100</c:v>
                </c:pt>
                <c:pt idx="2">
                  <c:v>200</c:v>
                </c:pt>
                <c:pt idx="3">
                  <c:v>300</c:v>
                </c:pt>
                <c:pt idx="4">
                  <c:v>400</c:v>
                </c:pt>
                <c:pt idx="5">
                  <c:v>500</c:v>
                </c:pt>
                <c:pt idx="6">
                  <c:v>600</c:v>
                </c:pt>
                <c:pt idx="7">
                  <c:v>655</c:v>
                </c:pt>
                <c:pt idx="8">
                  <c:v>692</c:v>
                </c:pt>
                <c:pt idx="9">
                  <c:v>720</c:v>
                </c:pt>
                <c:pt idx="10">
                  <c:v>740</c:v>
                </c:pt>
              </c:numCache>
            </c:numRef>
          </c:xVal>
          <c:yVal>
            <c:numRef>
              <c:f>List1!$E$9:$O$9</c:f>
              <c:numCache>
                <c:formatCode>0.00</c:formatCode>
                <c:ptCount val="11"/>
                <c:pt idx="0" formatCode="General">
                  <c:v>0</c:v>
                </c:pt>
                <c:pt idx="1">
                  <c:v>0.6000000000000002</c:v>
                </c:pt>
                <c:pt idx="2">
                  <c:v>1.6</c:v>
                </c:pt>
                <c:pt idx="3">
                  <c:v>3.05</c:v>
                </c:pt>
                <c:pt idx="4">
                  <c:v>5.46</c:v>
                </c:pt>
                <c:pt idx="5">
                  <c:v>8.8700000000000028</c:v>
                </c:pt>
                <c:pt idx="6">
                  <c:v>14.4</c:v>
                </c:pt>
                <c:pt idx="7">
                  <c:v>18.23</c:v>
                </c:pt>
                <c:pt idx="8">
                  <c:v>21.3</c:v>
                </c:pt>
                <c:pt idx="9">
                  <c:v>23.45</c:v>
                </c:pt>
                <c:pt idx="10">
                  <c:v>24.99</c:v>
                </c:pt>
              </c:numCache>
            </c:numRef>
          </c:yVal>
        </c:ser>
        <c:axId val="114329088"/>
        <c:axId val="114331008"/>
      </c:scatterChart>
      <c:valAx>
        <c:axId val="114329088"/>
        <c:scaling>
          <c:orientation val="minMax"/>
          <c:max val="750"/>
          <c:min val="0"/>
        </c:scaling>
        <c:axPos val="b"/>
        <c:majorGridlines/>
        <c:minorGridlines/>
        <c:title>
          <c:tx>
            <c:rich>
              <a:bodyPr/>
              <a:lstStyle/>
              <a:p>
                <a:pPr>
                  <a:defRPr/>
                </a:pPr>
                <a:r>
                  <a:rPr lang="cs-CZ"/>
                  <a:t>U [V]</a:t>
                </a:r>
              </a:p>
            </c:rich>
          </c:tx>
        </c:title>
        <c:numFmt formatCode="General" sourceLinked="1"/>
        <c:tickLblPos val="nextTo"/>
        <c:crossAx val="114331008"/>
        <c:crosses val="autoZero"/>
        <c:crossBetween val="midCat"/>
        <c:majorUnit val="150"/>
      </c:valAx>
      <c:valAx>
        <c:axId val="114331008"/>
        <c:scaling>
          <c:orientation val="minMax"/>
        </c:scaling>
        <c:axPos val="l"/>
        <c:majorGridlines/>
        <c:title>
          <c:tx>
            <c:rich>
              <a:bodyPr rot="-5400000" vert="horz"/>
              <a:lstStyle/>
              <a:p>
                <a:pPr>
                  <a:defRPr/>
                </a:pPr>
                <a:r>
                  <a:rPr lang="cs-CZ"/>
                  <a:t>I [mA]</a:t>
                </a:r>
              </a:p>
            </c:rich>
          </c:tx>
        </c:title>
        <c:numFmt formatCode="General" sourceLinked="1"/>
        <c:tickLblPos val="nextTo"/>
        <c:crossAx val="11432908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I=f(U)   </a:t>
            </a:r>
            <a:r>
              <a:rPr lang="cs-CZ"/>
              <a:t>Vzorek 3</a:t>
            </a:r>
          </a:p>
        </c:rich>
      </c:tx>
    </c:title>
    <c:plotArea>
      <c:layout/>
      <c:scatterChart>
        <c:scatterStyle val="lineMarker"/>
        <c:ser>
          <c:idx val="0"/>
          <c:order val="0"/>
          <c:tx>
            <c:strRef>
              <c:f>List1!$P$1</c:f>
              <c:strCache>
                <c:ptCount val="1"/>
                <c:pt idx="0">
                  <c:v>nahoru</c:v>
                </c:pt>
              </c:strCache>
            </c:strRef>
          </c:tx>
          <c:marker>
            <c:symbol val="plus"/>
            <c:size val="7"/>
          </c:marker>
          <c:xVal>
            <c:numRef>
              <c:f>List1!$E$11:$M$11</c:f>
              <c:numCache>
                <c:formatCode>General</c:formatCode>
                <c:ptCount val="9"/>
                <c:pt idx="0">
                  <c:v>9</c:v>
                </c:pt>
                <c:pt idx="1">
                  <c:v>100</c:v>
                </c:pt>
                <c:pt idx="2">
                  <c:v>200</c:v>
                </c:pt>
                <c:pt idx="3">
                  <c:v>300</c:v>
                </c:pt>
                <c:pt idx="4">
                  <c:v>400</c:v>
                </c:pt>
                <c:pt idx="5">
                  <c:v>478</c:v>
                </c:pt>
                <c:pt idx="6">
                  <c:v>508</c:v>
                </c:pt>
                <c:pt idx="7">
                  <c:v>537</c:v>
                </c:pt>
                <c:pt idx="8">
                  <c:v>569</c:v>
                </c:pt>
              </c:numCache>
            </c:numRef>
          </c:xVal>
          <c:yVal>
            <c:numRef>
              <c:f>List1!$E$12:$M$12</c:f>
              <c:numCache>
                <c:formatCode>0.00</c:formatCode>
                <c:ptCount val="9"/>
                <c:pt idx="0" formatCode="General">
                  <c:v>0</c:v>
                </c:pt>
                <c:pt idx="1">
                  <c:v>1.08</c:v>
                </c:pt>
                <c:pt idx="2">
                  <c:v>4.91</c:v>
                </c:pt>
                <c:pt idx="3">
                  <c:v>14.16</c:v>
                </c:pt>
                <c:pt idx="4">
                  <c:v>32.840000000000003</c:v>
                </c:pt>
                <c:pt idx="5">
                  <c:v>60.4</c:v>
                </c:pt>
                <c:pt idx="6">
                  <c:v>75.900000000000006</c:v>
                </c:pt>
                <c:pt idx="7">
                  <c:v>93.3</c:v>
                </c:pt>
                <c:pt idx="8">
                  <c:v>111.7</c:v>
                </c:pt>
              </c:numCache>
            </c:numRef>
          </c:yVal>
        </c:ser>
        <c:ser>
          <c:idx val="1"/>
          <c:order val="1"/>
          <c:tx>
            <c:strRef>
              <c:f>List1!$P$2</c:f>
              <c:strCache>
                <c:ptCount val="1"/>
                <c:pt idx="0">
                  <c:v>dolů</c:v>
                </c:pt>
              </c:strCache>
            </c:strRef>
          </c:tx>
          <c:marker>
            <c:symbol val="plus"/>
            <c:size val="7"/>
          </c:marker>
          <c:xVal>
            <c:numRef>
              <c:f>List1!$E$11:$M$11</c:f>
              <c:numCache>
                <c:formatCode>General</c:formatCode>
                <c:ptCount val="9"/>
                <c:pt idx="0">
                  <c:v>9</c:v>
                </c:pt>
                <c:pt idx="1">
                  <c:v>100</c:v>
                </c:pt>
                <c:pt idx="2">
                  <c:v>200</c:v>
                </c:pt>
                <c:pt idx="3">
                  <c:v>300</c:v>
                </c:pt>
                <c:pt idx="4">
                  <c:v>400</c:v>
                </c:pt>
                <c:pt idx="5">
                  <c:v>478</c:v>
                </c:pt>
                <c:pt idx="6">
                  <c:v>508</c:v>
                </c:pt>
                <c:pt idx="7">
                  <c:v>537</c:v>
                </c:pt>
                <c:pt idx="8">
                  <c:v>569</c:v>
                </c:pt>
              </c:numCache>
            </c:numRef>
          </c:xVal>
          <c:yVal>
            <c:numRef>
              <c:f>List1!$E$14:$M$14</c:f>
              <c:numCache>
                <c:formatCode>0.00</c:formatCode>
                <c:ptCount val="9"/>
                <c:pt idx="0" formatCode="General">
                  <c:v>0</c:v>
                </c:pt>
                <c:pt idx="1">
                  <c:v>2.0499999999999998</c:v>
                </c:pt>
                <c:pt idx="2">
                  <c:v>7.42</c:v>
                </c:pt>
                <c:pt idx="3">
                  <c:v>20.75</c:v>
                </c:pt>
                <c:pt idx="4">
                  <c:v>46.2</c:v>
                </c:pt>
                <c:pt idx="5">
                  <c:v>74.8</c:v>
                </c:pt>
                <c:pt idx="6">
                  <c:v>87.9</c:v>
                </c:pt>
                <c:pt idx="7">
                  <c:v>96.2</c:v>
                </c:pt>
                <c:pt idx="8">
                  <c:v>113.7</c:v>
                </c:pt>
              </c:numCache>
            </c:numRef>
          </c:yVal>
        </c:ser>
        <c:axId val="139831168"/>
        <c:axId val="150901120"/>
      </c:scatterChart>
      <c:valAx>
        <c:axId val="139831168"/>
        <c:scaling>
          <c:orientation val="minMax"/>
          <c:max val="600"/>
          <c:min val="0"/>
        </c:scaling>
        <c:axPos val="b"/>
        <c:majorGridlines/>
        <c:minorGridlines/>
        <c:title>
          <c:tx>
            <c:rich>
              <a:bodyPr/>
              <a:lstStyle/>
              <a:p>
                <a:pPr>
                  <a:defRPr/>
                </a:pPr>
                <a:r>
                  <a:rPr lang="cs-CZ"/>
                  <a:t>U [V]</a:t>
                </a:r>
              </a:p>
            </c:rich>
          </c:tx>
        </c:title>
        <c:numFmt formatCode="General" sourceLinked="1"/>
        <c:tickLblPos val="nextTo"/>
        <c:crossAx val="150901120"/>
        <c:crosses val="autoZero"/>
        <c:crossBetween val="midCat"/>
        <c:majorUnit val="150"/>
      </c:valAx>
      <c:valAx>
        <c:axId val="150901120"/>
        <c:scaling>
          <c:orientation val="minMax"/>
        </c:scaling>
        <c:axPos val="l"/>
        <c:majorGridlines/>
        <c:title>
          <c:tx>
            <c:rich>
              <a:bodyPr rot="-5400000" vert="horz"/>
              <a:lstStyle/>
              <a:p>
                <a:pPr>
                  <a:defRPr/>
                </a:pPr>
                <a:r>
                  <a:rPr lang="cs-CZ"/>
                  <a:t>I [mA]</a:t>
                </a:r>
              </a:p>
            </c:rich>
          </c:tx>
        </c:title>
        <c:numFmt formatCode="General" sourceLinked="1"/>
        <c:tickLblPos val="nextTo"/>
        <c:crossAx val="139831168"/>
        <c:crosses val="autoZero"/>
        <c:crossBetween val="midCat"/>
      </c:valAx>
    </c:plotArea>
    <c:legend>
      <c:legendPos val="r"/>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73415-BBB9-4A6F-BAEF-830674A0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8</Pages>
  <Words>1109</Words>
  <Characters>6548</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Buchy</dc:creator>
  <cp:lastModifiedBy>Kasi</cp:lastModifiedBy>
  <cp:revision>46</cp:revision>
  <cp:lastPrinted>2015-03-17T21:06:00Z</cp:lastPrinted>
  <dcterms:created xsi:type="dcterms:W3CDTF">2016-04-17T15:22:00Z</dcterms:created>
  <dcterms:modified xsi:type="dcterms:W3CDTF">2016-04-18T15:44:00Z</dcterms:modified>
</cp:coreProperties>
</file>