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charts/chart4.xml" ContentType="application/vnd.openxmlformats-officedocument.drawingml.chart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4355" w:rsidRPr="00096346" w:rsidRDefault="00D01242" w:rsidP="00096346">
      <w:pPr>
        <w:pStyle w:val="Nadpis1"/>
        <w:rPr>
          <w:sz w:val="40"/>
          <w:szCs w:val="40"/>
        </w:rPr>
      </w:pPr>
      <w:r w:rsidRPr="00096346">
        <w:rPr>
          <w:sz w:val="40"/>
          <w:szCs w:val="40"/>
        </w:rPr>
        <w:t>ZÁPADOČESKÁ UNIVERZITA V PLZNI</w:t>
      </w:r>
    </w:p>
    <w:p w:rsidR="00994355" w:rsidRPr="00096346" w:rsidRDefault="00D01242" w:rsidP="00096346">
      <w:pPr>
        <w:pStyle w:val="Nadpis1"/>
        <w:rPr>
          <w:sz w:val="40"/>
          <w:szCs w:val="40"/>
        </w:rPr>
      </w:pPr>
      <w:r w:rsidRPr="00096346">
        <w:rPr>
          <w:sz w:val="40"/>
          <w:szCs w:val="40"/>
        </w:rPr>
        <w:t>FAKULTA ELEKTROTECHNICKÁ</w:t>
      </w:r>
    </w:p>
    <w:p w:rsidR="00994355" w:rsidRPr="00096346" w:rsidRDefault="00D01242" w:rsidP="00096346">
      <w:pPr>
        <w:pStyle w:val="Nadpis1"/>
        <w:rPr>
          <w:sz w:val="40"/>
          <w:szCs w:val="40"/>
        </w:rPr>
      </w:pPr>
      <w:r w:rsidRPr="00096346">
        <w:rPr>
          <w:sz w:val="40"/>
          <w:szCs w:val="40"/>
        </w:rPr>
        <w:t>KATEDRA ELEKTROENERGETIKY</w:t>
      </w:r>
    </w:p>
    <w:p w:rsidR="00994355" w:rsidRDefault="00994355"/>
    <w:p w:rsidR="00994355" w:rsidRDefault="00994355"/>
    <w:p w:rsidR="00994355" w:rsidRDefault="003A5E5A" w:rsidP="00E467AD">
      <w:pPr>
        <w:jc w:val="center"/>
      </w:pPr>
      <w:r>
        <w:rPr>
          <w:noProof/>
        </w:rPr>
        <w:drawing>
          <wp:inline distT="0" distB="0" distL="0" distR="0">
            <wp:extent cx="4069080" cy="2080260"/>
            <wp:effectExtent l="19050" t="0" r="7620" b="0"/>
            <wp:docPr id="1" name="Obrázek 4" descr="Popis: ZCU_logoFELcmyk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4" descr="Popis: ZCU_logoFELcmyk_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208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355" w:rsidRDefault="00994355"/>
    <w:p w:rsidR="00994355" w:rsidRDefault="00994355"/>
    <w:p w:rsidR="00994355" w:rsidRDefault="00994355">
      <w:pPr>
        <w:pStyle w:val="Nadpis1"/>
        <w:rPr>
          <w:sz w:val="40"/>
        </w:rPr>
      </w:pPr>
    </w:p>
    <w:p w:rsidR="00994355" w:rsidRDefault="004E0838" w:rsidP="00096346">
      <w:pPr>
        <w:pStyle w:val="Nadpis1"/>
      </w:pPr>
      <w:r>
        <w:t>Základy elektrotepelných procesů</w:t>
      </w:r>
    </w:p>
    <w:p w:rsidR="000979DD" w:rsidRPr="000979DD" w:rsidRDefault="000979DD" w:rsidP="00096346">
      <w:pPr>
        <w:pStyle w:val="Nadpis1"/>
      </w:pPr>
    </w:p>
    <w:p w:rsidR="000979DD" w:rsidRPr="000979DD" w:rsidRDefault="004E0838" w:rsidP="00096346">
      <w:pPr>
        <w:pStyle w:val="Nadpis1"/>
        <w:rPr>
          <w:szCs w:val="36"/>
        </w:rPr>
      </w:pPr>
      <w:r>
        <w:rPr>
          <w:szCs w:val="36"/>
        </w:rPr>
        <w:t>Termočlánky</w:t>
      </w:r>
    </w:p>
    <w:p w:rsidR="000979DD" w:rsidRDefault="000979DD">
      <w:pPr>
        <w:pStyle w:val="Nadpis5"/>
        <w:rPr>
          <w:b/>
          <w:szCs w:val="36"/>
        </w:rPr>
      </w:pPr>
    </w:p>
    <w:p w:rsidR="003210F5" w:rsidRDefault="003210F5">
      <w:pPr>
        <w:ind w:left="4956" w:firstLine="708"/>
        <w:jc w:val="right"/>
        <w:rPr>
          <w:b/>
          <w:sz w:val="26"/>
          <w:u w:val="single"/>
        </w:rPr>
      </w:pPr>
    </w:p>
    <w:p w:rsidR="00994355" w:rsidRDefault="00994355">
      <w:pPr>
        <w:ind w:left="4956" w:firstLine="708"/>
        <w:jc w:val="right"/>
        <w:rPr>
          <w:b/>
          <w:sz w:val="26"/>
          <w:u w:val="single"/>
        </w:rPr>
      </w:pPr>
      <w:r>
        <w:rPr>
          <w:b/>
          <w:sz w:val="26"/>
          <w:u w:val="single"/>
        </w:rPr>
        <w:t>Vypracoval:</w:t>
      </w:r>
    </w:p>
    <w:p w:rsidR="00994355" w:rsidRDefault="004E0838">
      <w:pPr>
        <w:pStyle w:val="Nadpis6"/>
      </w:pPr>
      <w:r>
        <w:rPr>
          <w:sz w:val="26"/>
        </w:rPr>
        <w:t>Jan Kaska</w:t>
      </w:r>
    </w:p>
    <w:p w:rsidR="00EF6B45" w:rsidRDefault="0099435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F6B45" w:rsidRDefault="00EA546E" w:rsidP="00EF6B45">
      <w:pPr>
        <w:jc w:val="right"/>
        <w:rPr>
          <w:b/>
          <w:u w:val="single"/>
        </w:rPr>
      </w:pPr>
      <w:r>
        <w:rPr>
          <w:b/>
          <w:u w:val="single"/>
        </w:rPr>
        <w:t>Ostatní členové m</w:t>
      </w:r>
      <w:r w:rsidR="00EF6B45" w:rsidRPr="00EF6B45">
        <w:rPr>
          <w:b/>
          <w:u w:val="single"/>
        </w:rPr>
        <w:t>ěřící</w:t>
      </w:r>
      <w:r>
        <w:rPr>
          <w:b/>
          <w:u w:val="single"/>
        </w:rPr>
        <w:t>ho</w:t>
      </w:r>
      <w:r w:rsidR="00EF6B45" w:rsidRPr="00EF6B45">
        <w:rPr>
          <w:b/>
          <w:u w:val="single"/>
        </w:rPr>
        <w:t xml:space="preserve"> tým</w:t>
      </w:r>
      <w:r>
        <w:rPr>
          <w:b/>
          <w:u w:val="single"/>
        </w:rPr>
        <w:t>u</w:t>
      </w:r>
      <w:r w:rsidR="00EF6B45" w:rsidRPr="00EF6B45">
        <w:rPr>
          <w:b/>
          <w:u w:val="single"/>
        </w:rPr>
        <w:t>:</w:t>
      </w:r>
    </w:p>
    <w:p w:rsidR="00D14E76" w:rsidRDefault="004E0838" w:rsidP="00EF6B45">
      <w:pPr>
        <w:jc w:val="right"/>
      </w:pPr>
      <w:r>
        <w:t xml:space="preserve">Lukáš </w:t>
      </w:r>
      <w:proofErr w:type="spellStart"/>
      <w:r>
        <w:t>Knepr</w:t>
      </w:r>
      <w:proofErr w:type="spellEnd"/>
    </w:p>
    <w:p w:rsidR="0048052F" w:rsidRDefault="0048052F" w:rsidP="00EF6B45">
      <w:pPr>
        <w:jc w:val="right"/>
      </w:pPr>
    </w:p>
    <w:tbl>
      <w:tblPr>
        <w:tblW w:w="0" w:type="auto"/>
        <w:tblLook w:val="01E0"/>
      </w:tblPr>
      <w:tblGrid>
        <w:gridCol w:w="3070"/>
        <w:gridCol w:w="3070"/>
        <w:gridCol w:w="3071"/>
      </w:tblGrid>
      <w:tr w:rsidR="00F25192" w:rsidTr="0018338E">
        <w:tc>
          <w:tcPr>
            <w:tcW w:w="9211" w:type="dxa"/>
            <w:gridSpan w:val="3"/>
            <w:shd w:val="clear" w:color="auto" w:fill="auto"/>
          </w:tcPr>
          <w:p w:rsidR="00F25192" w:rsidRDefault="00F25192" w:rsidP="0048052F">
            <w:r>
              <w:t>Cvičení</w:t>
            </w:r>
          </w:p>
          <w:p w:rsidR="00F25192" w:rsidRDefault="00A809DC" w:rsidP="00A809DC">
            <w:pPr>
              <w:jc w:val="right"/>
            </w:pPr>
            <w:r>
              <w:t>Čt</w:t>
            </w:r>
            <w:r w:rsidR="0018338E">
              <w:t xml:space="preserve"> </w:t>
            </w:r>
            <w:r>
              <w:t>14:50</w:t>
            </w:r>
            <w:r w:rsidR="0018338E">
              <w:t xml:space="preserve"> - </w:t>
            </w:r>
            <w:r>
              <w:t>16:30</w:t>
            </w:r>
          </w:p>
        </w:tc>
      </w:tr>
      <w:tr w:rsidR="00D14E76" w:rsidTr="0018338E">
        <w:tc>
          <w:tcPr>
            <w:tcW w:w="3070" w:type="dxa"/>
            <w:shd w:val="clear" w:color="auto" w:fill="auto"/>
          </w:tcPr>
          <w:p w:rsidR="00D14E76" w:rsidRDefault="00D14E76">
            <w:r>
              <w:t>Datum měření</w:t>
            </w:r>
          </w:p>
          <w:p w:rsidR="00D14E76" w:rsidRDefault="00A809DC" w:rsidP="0015507B">
            <w:r>
              <w:t>6</w:t>
            </w:r>
            <w:r w:rsidR="0015507B">
              <w:t>.10.2016</w:t>
            </w:r>
          </w:p>
          <w:p w:rsidR="007E1EED" w:rsidRDefault="007E1EED"/>
        </w:tc>
        <w:tc>
          <w:tcPr>
            <w:tcW w:w="3070" w:type="dxa"/>
            <w:shd w:val="clear" w:color="auto" w:fill="auto"/>
          </w:tcPr>
          <w:p w:rsidR="008E324C" w:rsidRDefault="00D14E76">
            <w:r>
              <w:t>Datum vypracování</w:t>
            </w:r>
          </w:p>
          <w:p w:rsidR="0015507B" w:rsidRDefault="0015507B">
            <w:r>
              <w:t>9.10.2016</w:t>
            </w:r>
          </w:p>
          <w:p w:rsidR="008E324C" w:rsidRDefault="008E324C" w:rsidP="00E467AD">
            <w:pPr>
              <w:jc w:val="right"/>
            </w:pPr>
          </w:p>
        </w:tc>
        <w:tc>
          <w:tcPr>
            <w:tcW w:w="3071" w:type="dxa"/>
            <w:shd w:val="clear" w:color="auto" w:fill="auto"/>
          </w:tcPr>
          <w:p w:rsidR="00D14E76" w:rsidRDefault="00D14E76"/>
        </w:tc>
      </w:tr>
      <w:tr w:rsidR="00211B17" w:rsidTr="0018338E">
        <w:tc>
          <w:tcPr>
            <w:tcW w:w="3070" w:type="dxa"/>
            <w:shd w:val="clear" w:color="auto" w:fill="auto"/>
          </w:tcPr>
          <w:p w:rsidR="00211B17" w:rsidRDefault="00211B17">
            <w:r>
              <w:t>Školní rok</w:t>
            </w:r>
          </w:p>
          <w:p w:rsidR="0015507B" w:rsidRDefault="0015507B">
            <w:r>
              <w:t>2016/17</w:t>
            </w:r>
          </w:p>
        </w:tc>
        <w:tc>
          <w:tcPr>
            <w:tcW w:w="3070" w:type="dxa"/>
            <w:shd w:val="clear" w:color="auto" w:fill="auto"/>
          </w:tcPr>
          <w:p w:rsidR="0015507B" w:rsidRDefault="00211B17" w:rsidP="00211B17">
            <w:r>
              <w:t>Semestr</w:t>
            </w:r>
          </w:p>
          <w:p w:rsidR="00211B17" w:rsidRDefault="0015507B" w:rsidP="0015507B">
            <w:r>
              <w:t>zimní</w:t>
            </w:r>
          </w:p>
          <w:p w:rsidR="00211B17" w:rsidRDefault="00211B17" w:rsidP="00991832"/>
        </w:tc>
        <w:tc>
          <w:tcPr>
            <w:tcW w:w="3071" w:type="dxa"/>
            <w:shd w:val="clear" w:color="auto" w:fill="auto"/>
          </w:tcPr>
          <w:p w:rsidR="00211B17" w:rsidRDefault="00211B17" w:rsidP="00211B17">
            <w:r>
              <w:t>Ročník</w:t>
            </w:r>
          </w:p>
          <w:p w:rsidR="0015507B" w:rsidRDefault="0015507B" w:rsidP="00211B17">
            <w:r>
              <w:t>3.</w:t>
            </w:r>
          </w:p>
          <w:p w:rsidR="00211B17" w:rsidRDefault="00211B17" w:rsidP="00211B17"/>
        </w:tc>
      </w:tr>
    </w:tbl>
    <w:p w:rsidR="00554D7A" w:rsidRDefault="00554D7A"/>
    <w:p w:rsidR="00D14E76" w:rsidRDefault="00554D7A" w:rsidP="00554D7A">
      <w:pPr>
        <w:pStyle w:val="Nadpis1"/>
        <w:jc w:val="left"/>
      </w:pPr>
      <w:r>
        <w:br w:type="page"/>
      </w:r>
      <w:r>
        <w:lastRenderedPageBreak/>
        <w:t>Úkol měření</w:t>
      </w:r>
    </w:p>
    <w:p w:rsidR="00554D7A" w:rsidRDefault="00554D7A" w:rsidP="00554D7A"/>
    <w:p w:rsidR="00554D7A" w:rsidRDefault="00554D7A" w:rsidP="00654B6D">
      <w:pPr>
        <w:jc w:val="both"/>
      </w:pPr>
      <w:r>
        <w:t xml:space="preserve">Proveďte cejchování dvou druhů termočlánků (Ch-A, </w:t>
      </w:r>
      <w:proofErr w:type="spellStart"/>
      <w:r>
        <w:t>Fe</w:t>
      </w:r>
      <w:proofErr w:type="spellEnd"/>
      <w:r>
        <w:t>-</w:t>
      </w:r>
      <w:proofErr w:type="spellStart"/>
      <w:r>
        <w:t>Ko</w:t>
      </w:r>
      <w:proofErr w:type="spellEnd"/>
      <w:r>
        <w:t xml:space="preserve">) podle normálu (normálem je termočlánek </w:t>
      </w:r>
      <w:proofErr w:type="spellStart"/>
      <w:r>
        <w:t>NiCr</w:t>
      </w:r>
      <w:proofErr w:type="spellEnd"/>
      <w:r>
        <w:t>-Ni). Cejchování proveďte alespoň pro čtyři teploty.</w:t>
      </w:r>
    </w:p>
    <w:p w:rsidR="007E5B59" w:rsidRDefault="007E5B59" w:rsidP="00554D7A"/>
    <w:p w:rsidR="007E5B59" w:rsidRDefault="007E5B59" w:rsidP="007E5B59">
      <w:pPr>
        <w:pStyle w:val="Nadpis1"/>
        <w:jc w:val="left"/>
      </w:pPr>
      <w:r>
        <w:t>Teoretický úvod</w:t>
      </w:r>
    </w:p>
    <w:p w:rsidR="007E5B59" w:rsidRDefault="007E5B59" w:rsidP="007E5B59"/>
    <w:p w:rsidR="007E5B59" w:rsidRDefault="00654B6D" w:rsidP="007E5B59">
      <w:pPr>
        <w:pStyle w:val="Nadpis2"/>
        <w:jc w:val="left"/>
      </w:pPr>
      <w:r>
        <w:t xml:space="preserve">I. </w:t>
      </w:r>
      <w:r w:rsidR="007E5B59">
        <w:t>Termoelektrický jev</w:t>
      </w:r>
    </w:p>
    <w:p w:rsidR="007E5B59" w:rsidRDefault="007E5B59" w:rsidP="007E5B59"/>
    <w:p w:rsidR="007E5B59" w:rsidRDefault="007E5B59" w:rsidP="00654B6D">
      <w:pPr>
        <w:jc w:val="both"/>
      </w:pPr>
      <w:r>
        <w:t xml:space="preserve">Podstata termoelektrického jevu je přímá přeměna tepelné energie v elektrickou a naopak. Vysvětlení vzniku termoelektrického napětí můžeme provést na základě teorie o rozdělení vodičů na </w:t>
      </w:r>
      <w:proofErr w:type="spellStart"/>
      <w:r>
        <w:t>monopolární</w:t>
      </w:r>
      <w:proofErr w:type="spellEnd"/>
      <w:r>
        <w:t xml:space="preserve"> typu n a p a na vodiče </w:t>
      </w:r>
      <w:proofErr w:type="spellStart"/>
      <w:r>
        <w:t>ambipolární</w:t>
      </w:r>
      <w:proofErr w:type="spellEnd"/>
      <w:r>
        <w:t xml:space="preserve">. </w:t>
      </w:r>
      <w:proofErr w:type="spellStart"/>
      <w:r>
        <w:t>Monopolární</w:t>
      </w:r>
      <w:proofErr w:type="spellEnd"/>
      <w:r>
        <w:t xml:space="preserve"> vodič typu n obsahuje většinou nosiče </w:t>
      </w:r>
      <w:proofErr w:type="spellStart"/>
      <w:r>
        <w:t>záporních</w:t>
      </w:r>
      <w:proofErr w:type="spellEnd"/>
      <w:r>
        <w:t xml:space="preserve"> </w:t>
      </w:r>
      <w:r w:rsidR="0098617B">
        <w:t xml:space="preserve">elektrických nábojů (elektrony), zatímco vodič typu p nosiče zdánlivě kladných nábojů (díry). Oba typy vodičů se navzájem liší způsobem přemísťování elektrických nábojů ve vodiči, je-li na něm teplotní rozdíl. </w:t>
      </w:r>
      <w:proofErr w:type="spellStart"/>
      <w:r w:rsidR="0098617B">
        <w:t>Monopolární</w:t>
      </w:r>
      <w:proofErr w:type="spellEnd"/>
      <w:r w:rsidR="0098617B">
        <w:t xml:space="preserve"> vodič typu n (měď) se chová tak, že při jeho zahřátí se volné elektrony přemísťují k chladnějšímu konci vodiče. Tím vzniká na chladnějším konci přebytek záporných nábojů (záporná polarita) a na teplejším konci kladná polarita. Vodič typu p (konstantan) se při stejném smyslu teplotního spádu, jako u typu n</w:t>
      </w:r>
      <w:r w:rsidR="0084607B">
        <w:t>, chová opačně (chladnější konec má kladnou polaritu).</w:t>
      </w:r>
    </w:p>
    <w:p w:rsidR="00654B6D" w:rsidRDefault="00654B6D" w:rsidP="007E5B59"/>
    <w:p w:rsidR="00654B6D" w:rsidRDefault="00654B6D" w:rsidP="00AB7C20">
      <w:pPr>
        <w:jc w:val="both"/>
      </w:pPr>
      <w:r>
        <w:t xml:space="preserve">Tento pohyb částic ve vodičích se děje jen uvnitř vodiče samotného, protože potenciální hráz, vytvořená ionty krystalické mřížky, zabraňuje vystoupení elektronů z vodiče. Spojí-li se však dokonale vodivě dva různé kovy, mohou elektrony z kovu s nižší potenciální hrází přestupovat do kovu s vyšší potenciální hrází a vytvářet tak elektrický proud spojenými vodiči. Tímto způsobem se vysvětluje vznik </w:t>
      </w:r>
      <w:proofErr w:type="spellStart"/>
      <w:r>
        <w:t>termo</w:t>
      </w:r>
      <w:proofErr w:type="spellEnd"/>
      <w:r>
        <w:t>-elektrického článku.</w:t>
      </w:r>
    </w:p>
    <w:p w:rsidR="00AB7C20" w:rsidRDefault="00AB7C20" w:rsidP="00AB7C20">
      <w:pPr>
        <w:jc w:val="both"/>
      </w:pPr>
    </w:p>
    <w:p w:rsidR="00AB7C20" w:rsidRDefault="00AB7C20" w:rsidP="00AB7C20">
      <w:pPr>
        <w:jc w:val="both"/>
      </w:pPr>
      <w:r>
        <w:t>Velikost termoelektrického napětí je závislá na druhu použitých kovů a rozdílu teplot spojů. Tuto závislost lze vyjádřit vztahem:</w:t>
      </w:r>
    </w:p>
    <w:p w:rsidR="00C81550" w:rsidRDefault="003A5E5A" w:rsidP="00C81550">
      <w:pPr>
        <w:jc w:val="both"/>
      </w:pPr>
      <m:oMath>
        <m:r>
          <w:rPr>
            <w:rFonts w:ascii="Cambria Math" w:hAnsi="Cambria Math"/>
          </w:rPr>
          <m:t>U=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  <m: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ϑ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ϑ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</m:e>
        </m:d>
        <m:r>
          <w:rPr>
            <w:rFonts w:ascii="Cambria Math" w:hAnsi="Cambria Math"/>
          </w:rPr>
          <m:t xml:space="preserve">     [</m:t>
        </m:r>
        <m:r>
          <m:rPr>
            <m:sty m:val="p"/>
          </m:rPr>
          <w:rPr>
            <w:rFonts w:ascii="Cambria Math" w:hAnsi="Cambria Math"/>
          </w:rPr>
          <m:t>mV</m:t>
        </m:r>
        <m:r>
          <w:rPr>
            <w:rFonts w:ascii="Cambria Math" w:hAnsi="Cambria Math"/>
          </w:rPr>
          <m:t>]</m:t>
        </m:r>
      </m:oMath>
      <w:r w:rsidR="00C81550">
        <w:t>, kde</w:t>
      </w:r>
    </w:p>
    <w:p w:rsidR="00C81550" w:rsidRDefault="00496752" w:rsidP="00AB7C20">
      <w:pPr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B43362">
        <w:t xml:space="preserve"> </w:t>
      </w:r>
    </w:p>
    <w:p w:rsidR="00B43362" w:rsidRDefault="00B43362" w:rsidP="00AB7C20">
      <w:pPr>
        <w:jc w:val="both"/>
      </w:pPr>
      <w:r>
        <w:t xml:space="preserve">součinitelé určující </w:t>
      </w:r>
      <w:r w:rsidR="00C81550">
        <w:t>velikost termoelektrického napětí příslušné použitým materiálům [</w:t>
      </w:r>
      <w:proofErr w:type="spellStart"/>
      <w:r w:rsidR="00C81550">
        <w:t>mV</w:t>
      </w:r>
      <w:proofErr w:type="spellEnd"/>
      <w:r w:rsidR="00C81550">
        <w:t>/°C]</w:t>
      </w:r>
    </w:p>
    <w:p w:rsidR="00C81550" w:rsidRDefault="00496752" w:rsidP="00AB7C20">
      <w:pPr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ϑ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ϑ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C81550">
        <w:tab/>
      </w:r>
    </w:p>
    <w:p w:rsidR="00C81550" w:rsidRDefault="00C81550" w:rsidP="00AB7C20">
      <w:pPr>
        <w:jc w:val="both"/>
      </w:pPr>
      <w:r>
        <w:t>teplota teplého a studeného spoje [°C]</w:t>
      </w:r>
    </w:p>
    <w:p w:rsidR="00875DE9" w:rsidRDefault="00875DE9" w:rsidP="00AB7C20">
      <w:pPr>
        <w:jc w:val="both"/>
      </w:pPr>
    </w:p>
    <w:p w:rsidR="00875DE9" w:rsidRDefault="00875DE9" w:rsidP="00AB7C20">
      <w:pPr>
        <w:jc w:val="both"/>
      </w:pPr>
      <w:r>
        <w:t xml:space="preserve">Vytvoří-li se termoelektrický článek z vodičů stejného typu. součinitelé </w:t>
      </w:r>
      <m:oMath>
        <m:r>
          <w:rPr>
            <w:rFonts w:ascii="Cambria Math" w:hAnsi="Cambria Math"/>
          </w:rPr>
          <m:t>α</m:t>
        </m:r>
      </m:oMath>
      <w:r>
        <w:t xml:space="preserve"> se odečítají, použije-li se vodič typu n a p, pak se součinitelé </w:t>
      </w:r>
      <m:oMath>
        <m:r>
          <w:rPr>
            <w:rFonts w:ascii="Cambria Math" w:hAnsi="Cambria Math"/>
          </w:rPr>
          <m:t>α</m:t>
        </m:r>
      </m:oMath>
      <w:r>
        <w:t xml:space="preserve"> sčítají a termoelektrického napětí dosáhne maximální velikosti.</w:t>
      </w:r>
    </w:p>
    <w:p w:rsidR="00A81082" w:rsidRDefault="00A81082" w:rsidP="00AB7C20">
      <w:pPr>
        <w:jc w:val="both"/>
      </w:pPr>
      <w:r>
        <w:t>Úměrnosti termoelektrického napětí k rozdílu teplot obou spojů termoelektrického článku se využívá nejčastěji k měření teplot. Zpravidla je známa teplota studeného (srovnávacího) spoje a pomocí napětí a cejchovní křivky pro použité materiály lze určit teplotu teplého (měrného) spoje.</w:t>
      </w:r>
    </w:p>
    <w:p w:rsidR="000E5C5A" w:rsidRDefault="000E5C5A" w:rsidP="00AB7C20">
      <w:pPr>
        <w:jc w:val="both"/>
      </w:pPr>
    </w:p>
    <w:p w:rsidR="000E5C5A" w:rsidRDefault="000E5C5A" w:rsidP="000E5C5A">
      <w:pPr>
        <w:pStyle w:val="Nadpis2"/>
        <w:jc w:val="left"/>
      </w:pPr>
      <w:r>
        <w:t>II. Cejchování termočlánků</w:t>
      </w:r>
    </w:p>
    <w:p w:rsidR="00B43362" w:rsidRDefault="00B43362" w:rsidP="00AB7C20">
      <w:pPr>
        <w:jc w:val="both"/>
      </w:pPr>
    </w:p>
    <w:p w:rsidR="003E68C2" w:rsidRDefault="003E68C2" w:rsidP="00AB7C20">
      <w:pPr>
        <w:jc w:val="both"/>
      </w:pPr>
      <w:r>
        <w:t>Účelem cejchování termočlánků je stanovit závislost jejich termoelektrického napětí na příslušném rozdílu teplot mezi srovnávacím a měrným koncem. Tato závislost se pak vyjadřuje tabulkou nebo cejchovní křivkou.</w:t>
      </w:r>
    </w:p>
    <w:p w:rsidR="003E68C2" w:rsidRDefault="003E68C2" w:rsidP="00AB7C20">
      <w:pPr>
        <w:jc w:val="both"/>
      </w:pPr>
    </w:p>
    <w:p w:rsidR="003E68C2" w:rsidRDefault="003E68C2" w:rsidP="00AB7C20">
      <w:pPr>
        <w:jc w:val="both"/>
      </w:pPr>
      <w:r>
        <w:lastRenderedPageBreak/>
        <w:t>Porovnáním s normálem se termočlánky obyčejně cejchují v elektrické peci. Při tom je nutné sledovat, aby hloubka ponoření normálu a cejchovního článku v peci byla stejná a tím bylo zaručeno jejich umístění v místě stejné teploty. Teplota v místě peci musí být zvyšována pomalu, protože mnohdy by se při rychlém růstu teploty nemohla vyrovnat časová zpoždění při měření teploty ověřovaného termočlánku a normálu.</w:t>
      </w:r>
    </w:p>
    <w:p w:rsidR="00B04EE8" w:rsidRDefault="00B04EE8" w:rsidP="00AB7C20">
      <w:pPr>
        <w:jc w:val="both"/>
      </w:pPr>
    </w:p>
    <w:p w:rsidR="00B04EE8" w:rsidRDefault="00B04EE8" w:rsidP="00AB7C20">
      <w:pPr>
        <w:jc w:val="both"/>
      </w:pPr>
      <w:r>
        <w:t xml:space="preserve">Teplota srovnávacího konce bývá 0°C. Tuto metodu lze použít asi do teploty 1200°C. Při porovnávání naměřených hodnot termoelektrického napětí ověřovaného článku s hodnotami uvedenými v normě se zjistí vždy určité odchylky. </w:t>
      </w:r>
    </w:p>
    <w:p w:rsidR="00B04EE8" w:rsidRDefault="00B04EE8" w:rsidP="00AB7C20">
      <w:pPr>
        <w:jc w:val="both"/>
      </w:pPr>
    </w:p>
    <w:p w:rsidR="00B04EE8" w:rsidRDefault="00B04EE8" w:rsidP="00AB7C20">
      <w:pPr>
        <w:jc w:val="both"/>
      </w:pPr>
      <w:r>
        <w:t>Výsledkem cejchování je korekční křivka.</w:t>
      </w:r>
    </w:p>
    <w:p w:rsidR="00150906" w:rsidRDefault="00150906" w:rsidP="00AB7C20">
      <w:pPr>
        <w:jc w:val="both"/>
      </w:pPr>
    </w:p>
    <w:p w:rsidR="00150906" w:rsidRDefault="00150906" w:rsidP="00150906">
      <w:pPr>
        <w:pStyle w:val="Nadpis1"/>
        <w:jc w:val="left"/>
      </w:pPr>
      <w:r>
        <w:t>Schéma zapojení</w:t>
      </w:r>
    </w:p>
    <w:p w:rsidR="00150906" w:rsidRDefault="00453116" w:rsidP="00150906">
      <w:r>
        <w:rPr>
          <w:noProof/>
        </w:rPr>
        <w:drawing>
          <wp:inline distT="0" distB="0" distL="0" distR="0">
            <wp:extent cx="5253990" cy="3717353"/>
            <wp:effectExtent l="19050" t="0" r="3810" b="0"/>
            <wp:docPr id="2" name="Obrázek 1" descr="Screenshot_8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6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8342" cy="372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116" w:rsidRDefault="00453116" w:rsidP="00453116">
      <w:pPr>
        <w:pStyle w:val="Nadpis1"/>
        <w:jc w:val="left"/>
      </w:pPr>
    </w:p>
    <w:p w:rsidR="00453116" w:rsidRDefault="00453116" w:rsidP="00453116">
      <w:pPr>
        <w:pStyle w:val="Nadpis1"/>
        <w:jc w:val="left"/>
      </w:pPr>
      <w:r>
        <w:t>Postup měření</w:t>
      </w:r>
    </w:p>
    <w:p w:rsidR="00453116" w:rsidRDefault="00453116" w:rsidP="001A76F2">
      <w:pPr>
        <w:jc w:val="both"/>
      </w:pPr>
    </w:p>
    <w:p w:rsidR="00453116" w:rsidRDefault="00453116" w:rsidP="001A76F2">
      <w:pPr>
        <w:jc w:val="both"/>
      </w:pPr>
      <w:r>
        <w:t>Tři druhy termočlánků (</w:t>
      </w:r>
      <w:proofErr w:type="spellStart"/>
      <w:r>
        <w:t>Fe</w:t>
      </w:r>
      <w:proofErr w:type="spellEnd"/>
      <w:r>
        <w:t>-</w:t>
      </w:r>
      <w:proofErr w:type="spellStart"/>
      <w:r>
        <w:t>Ko</w:t>
      </w:r>
      <w:proofErr w:type="spellEnd"/>
      <w:r>
        <w:t xml:space="preserve">, Ch-A, normál </w:t>
      </w:r>
      <w:proofErr w:type="spellStart"/>
      <w:r>
        <w:t>NiCr</w:t>
      </w:r>
      <w:proofErr w:type="spellEnd"/>
      <w:r>
        <w:t>-Ni) jsou ponořeny jedním koncem v lázni vody s ledem o teplotě 0°C a druhým koncem v pícce, která se vytápí.</w:t>
      </w:r>
    </w:p>
    <w:p w:rsidR="00453116" w:rsidRDefault="00453116" w:rsidP="001A76F2">
      <w:pPr>
        <w:jc w:val="both"/>
      </w:pPr>
      <w:r>
        <w:t>Pro docílení pomalého růstu teploty, je pec napájena z regulačního transformátoru sníženým napětím. Zvyšování teploty sledujte na záznamovém zapisovači.</w:t>
      </w:r>
    </w:p>
    <w:p w:rsidR="00453116" w:rsidRDefault="00453116" w:rsidP="001A76F2">
      <w:pPr>
        <w:jc w:val="both"/>
      </w:pPr>
      <w:r>
        <w:t xml:space="preserve">V okamžiku, kdy se začne teplota zvyšovat, napájení vypněte. Jelikož má systém teplotní setrvačnost, bude se nějakou chvíli ještě teplota zvyšovat. V okamžiku, kdy se ustálí teplota (sledujte zapisovač), odečtěte hodnoty napětí na měřených termočláncích. </w:t>
      </w:r>
    </w:p>
    <w:p w:rsidR="00453116" w:rsidRDefault="00453116" w:rsidP="001A76F2">
      <w:pPr>
        <w:jc w:val="both"/>
      </w:pPr>
      <w:r>
        <w:t>Poté opět zapněte vytápění pícky a pokračujeme stejným postupem, dokud nenaměříte alespoň čtyři sady hodnot.</w:t>
      </w:r>
    </w:p>
    <w:p w:rsidR="00453116" w:rsidRDefault="00453116" w:rsidP="001A76F2">
      <w:pPr>
        <w:jc w:val="both"/>
      </w:pPr>
      <w:r>
        <w:t>Sestrojte naměřené charakteristiky a porovnejte je s dovolenou odchylkou závislosti (stanovenou výrobcem).</w:t>
      </w:r>
    </w:p>
    <w:p w:rsidR="00453116" w:rsidRDefault="00453116" w:rsidP="00453116"/>
    <w:p w:rsidR="00453116" w:rsidRDefault="00453116" w:rsidP="00453116">
      <w:pPr>
        <w:pStyle w:val="Nadpis1"/>
        <w:jc w:val="left"/>
      </w:pPr>
      <w:r>
        <w:lastRenderedPageBreak/>
        <w:t>Použité přístroje</w:t>
      </w:r>
    </w:p>
    <w:p w:rsidR="00453116" w:rsidRDefault="00453116" w:rsidP="00453116"/>
    <w:tbl>
      <w:tblPr>
        <w:tblStyle w:val="Mkatabulky"/>
        <w:tblW w:w="9606" w:type="dxa"/>
        <w:tblLook w:val="04A0"/>
      </w:tblPr>
      <w:tblGrid>
        <w:gridCol w:w="3070"/>
        <w:gridCol w:w="3070"/>
        <w:gridCol w:w="3466"/>
      </w:tblGrid>
      <w:tr w:rsidR="00453116" w:rsidTr="00C9574D">
        <w:tc>
          <w:tcPr>
            <w:tcW w:w="3070" w:type="dxa"/>
            <w:tcBorders>
              <w:top w:val="single" w:sz="12" w:space="0" w:color="auto"/>
              <w:left w:val="single" w:sz="12" w:space="0" w:color="auto"/>
            </w:tcBorders>
          </w:tcPr>
          <w:p w:rsidR="00453116" w:rsidRDefault="00453116" w:rsidP="00453116">
            <w:proofErr w:type="spellStart"/>
            <w:r>
              <w:t>Autotransformátor</w:t>
            </w:r>
            <w:proofErr w:type="spellEnd"/>
          </w:p>
        </w:tc>
        <w:tc>
          <w:tcPr>
            <w:tcW w:w="3070" w:type="dxa"/>
            <w:tcBorders>
              <w:top w:val="single" w:sz="12" w:space="0" w:color="auto"/>
            </w:tcBorders>
          </w:tcPr>
          <w:p w:rsidR="00453116" w:rsidRDefault="00453116" w:rsidP="00453116">
            <w:r>
              <w:t>RA5 ; 120/220 ; 50Hz</w:t>
            </w:r>
          </w:p>
        </w:tc>
        <w:tc>
          <w:tcPr>
            <w:tcW w:w="3466" w:type="dxa"/>
            <w:tcBorders>
              <w:top w:val="single" w:sz="12" w:space="0" w:color="auto"/>
              <w:right w:val="single" w:sz="12" w:space="0" w:color="auto"/>
            </w:tcBorders>
          </w:tcPr>
          <w:p w:rsidR="00453116" w:rsidRDefault="00453116" w:rsidP="00453116">
            <w:r>
              <w:t>7503</w:t>
            </w:r>
          </w:p>
        </w:tc>
      </w:tr>
      <w:tr w:rsidR="00453116" w:rsidTr="00C9574D">
        <w:tc>
          <w:tcPr>
            <w:tcW w:w="3070" w:type="dxa"/>
            <w:tcBorders>
              <w:left w:val="single" w:sz="12" w:space="0" w:color="auto"/>
            </w:tcBorders>
          </w:tcPr>
          <w:p w:rsidR="00453116" w:rsidRDefault="00453116" w:rsidP="00453116">
            <w:r>
              <w:t>Pec</w:t>
            </w:r>
          </w:p>
        </w:tc>
        <w:tc>
          <w:tcPr>
            <w:tcW w:w="3070" w:type="dxa"/>
          </w:tcPr>
          <w:p w:rsidR="00453116" w:rsidRDefault="00453116" w:rsidP="00453116">
            <w:r>
              <w:t>ESA</w:t>
            </w:r>
          </w:p>
        </w:tc>
        <w:tc>
          <w:tcPr>
            <w:tcW w:w="3466" w:type="dxa"/>
            <w:tcBorders>
              <w:right w:val="single" w:sz="12" w:space="0" w:color="auto"/>
            </w:tcBorders>
          </w:tcPr>
          <w:p w:rsidR="00453116" w:rsidRDefault="00453116" w:rsidP="00453116">
            <w:r>
              <w:t>5897</w:t>
            </w:r>
          </w:p>
        </w:tc>
      </w:tr>
      <w:tr w:rsidR="00453116" w:rsidTr="00C9574D">
        <w:tc>
          <w:tcPr>
            <w:tcW w:w="3070" w:type="dxa"/>
            <w:tcBorders>
              <w:left w:val="single" w:sz="12" w:space="0" w:color="auto"/>
            </w:tcBorders>
          </w:tcPr>
          <w:p w:rsidR="00453116" w:rsidRDefault="00453116" w:rsidP="00453116">
            <w:proofErr w:type="spellStart"/>
            <w:r>
              <w:t>Multimetr</w:t>
            </w:r>
            <w:proofErr w:type="spellEnd"/>
          </w:p>
        </w:tc>
        <w:tc>
          <w:tcPr>
            <w:tcW w:w="3070" w:type="dxa"/>
          </w:tcPr>
          <w:p w:rsidR="00453116" w:rsidRDefault="00453116" w:rsidP="00453116">
            <w:r>
              <w:t>Mastech MY-65</w:t>
            </w:r>
          </w:p>
        </w:tc>
        <w:tc>
          <w:tcPr>
            <w:tcW w:w="3466" w:type="dxa"/>
            <w:tcBorders>
              <w:right w:val="single" w:sz="12" w:space="0" w:color="auto"/>
            </w:tcBorders>
          </w:tcPr>
          <w:p w:rsidR="00453116" w:rsidRDefault="00E02851" w:rsidP="00453116">
            <w:r>
              <w:t>-</w:t>
            </w:r>
          </w:p>
        </w:tc>
      </w:tr>
      <w:tr w:rsidR="00453116" w:rsidTr="00C9574D">
        <w:tc>
          <w:tcPr>
            <w:tcW w:w="3070" w:type="dxa"/>
            <w:tcBorders>
              <w:left w:val="single" w:sz="12" w:space="0" w:color="auto"/>
            </w:tcBorders>
          </w:tcPr>
          <w:p w:rsidR="00453116" w:rsidRDefault="00E02851" w:rsidP="00453116">
            <w:r>
              <w:t>Zapisovač</w:t>
            </w:r>
          </w:p>
        </w:tc>
        <w:tc>
          <w:tcPr>
            <w:tcW w:w="3070" w:type="dxa"/>
          </w:tcPr>
          <w:p w:rsidR="00453116" w:rsidRDefault="00E02851" w:rsidP="00453116">
            <w:r>
              <w:t>Omega</w:t>
            </w:r>
          </w:p>
        </w:tc>
        <w:tc>
          <w:tcPr>
            <w:tcW w:w="3466" w:type="dxa"/>
            <w:tcBorders>
              <w:right w:val="single" w:sz="12" w:space="0" w:color="auto"/>
            </w:tcBorders>
          </w:tcPr>
          <w:p w:rsidR="00453116" w:rsidRDefault="00E02851" w:rsidP="00453116">
            <w:r>
              <w:t>22897</w:t>
            </w:r>
          </w:p>
        </w:tc>
      </w:tr>
      <w:tr w:rsidR="00453116" w:rsidTr="00C9574D">
        <w:tc>
          <w:tcPr>
            <w:tcW w:w="3070" w:type="dxa"/>
            <w:tcBorders>
              <w:left w:val="single" w:sz="12" w:space="0" w:color="auto"/>
              <w:bottom w:val="single" w:sz="12" w:space="0" w:color="auto"/>
            </w:tcBorders>
          </w:tcPr>
          <w:p w:rsidR="00453116" w:rsidRDefault="00E02851" w:rsidP="00453116">
            <w:r>
              <w:t xml:space="preserve">4x °C </w:t>
            </w:r>
            <w:proofErr w:type="spellStart"/>
            <w:r>
              <w:t>mV</w:t>
            </w:r>
            <w:proofErr w:type="spellEnd"/>
            <w:r>
              <w:t xml:space="preserve"> metr</w:t>
            </w:r>
          </w:p>
        </w:tc>
        <w:tc>
          <w:tcPr>
            <w:tcW w:w="3070" w:type="dxa"/>
            <w:tcBorders>
              <w:bottom w:val="single" w:sz="12" w:space="0" w:color="auto"/>
            </w:tcBorders>
          </w:tcPr>
          <w:p w:rsidR="00453116" w:rsidRDefault="00E02851" w:rsidP="00453116">
            <w:proofErr w:type="spellStart"/>
            <w:r>
              <w:t>Ganz</w:t>
            </w:r>
            <w:proofErr w:type="spellEnd"/>
          </w:p>
        </w:tc>
        <w:tc>
          <w:tcPr>
            <w:tcW w:w="3466" w:type="dxa"/>
            <w:tcBorders>
              <w:bottom w:val="single" w:sz="12" w:space="0" w:color="auto"/>
              <w:right w:val="single" w:sz="12" w:space="0" w:color="auto"/>
            </w:tcBorders>
          </w:tcPr>
          <w:p w:rsidR="00453116" w:rsidRDefault="00E02851" w:rsidP="00453116">
            <w:r>
              <w:t>29759</w:t>
            </w:r>
            <w:r w:rsidR="005A7B98">
              <w:t xml:space="preserve"> </w:t>
            </w:r>
            <w:r>
              <w:t>;</w:t>
            </w:r>
            <w:r w:rsidR="005A7B98">
              <w:t xml:space="preserve"> </w:t>
            </w:r>
            <w:r>
              <w:t>29761</w:t>
            </w:r>
            <w:r w:rsidR="005A7B98">
              <w:t xml:space="preserve"> </w:t>
            </w:r>
            <w:r>
              <w:t>;</w:t>
            </w:r>
            <w:r w:rsidR="005A7B98">
              <w:t xml:space="preserve"> </w:t>
            </w:r>
            <w:r>
              <w:t>29758</w:t>
            </w:r>
            <w:r w:rsidR="005A7B98">
              <w:t xml:space="preserve"> </w:t>
            </w:r>
            <w:r>
              <w:t>;</w:t>
            </w:r>
            <w:r w:rsidR="005A7B98">
              <w:t xml:space="preserve"> </w:t>
            </w:r>
            <w:r>
              <w:t>29756</w:t>
            </w:r>
          </w:p>
        </w:tc>
      </w:tr>
    </w:tbl>
    <w:p w:rsidR="00453116" w:rsidRPr="00453116" w:rsidRDefault="00453116" w:rsidP="00453116"/>
    <w:p w:rsidR="00453116" w:rsidRDefault="0064338C" w:rsidP="0064338C">
      <w:pPr>
        <w:pStyle w:val="Nadpis1"/>
        <w:jc w:val="left"/>
      </w:pPr>
      <w:r>
        <w:t>Naměřené a vypočítané hodnoty</w:t>
      </w:r>
    </w:p>
    <w:p w:rsidR="0064338C" w:rsidRDefault="0064338C" w:rsidP="0064338C"/>
    <w:tbl>
      <w:tblPr>
        <w:tblW w:w="9508" w:type="dxa"/>
        <w:tblInd w:w="60" w:type="dxa"/>
        <w:tblLayout w:type="fixed"/>
        <w:tblCellMar>
          <w:left w:w="70" w:type="dxa"/>
          <w:right w:w="70" w:type="dxa"/>
        </w:tblCellMar>
        <w:tblLook w:val="04A0"/>
      </w:tblPr>
      <w:tblGrid>
        <w:gridCol w:w="1420"/>
        <w:gridCol w:w="720"/>
        <w:gridCol w:w="1842"/>
        <w:gridCol w:w="1842"/>
        <w:gridCol w:w="1842"/>
        <w:gridCol w:w="1842"/>
      </w:tblGrid>
      <w:tr w:rsidR="001B46BE" w:rsidRPr="001B46BE" w:rsidTr="00D74747">
        <w:trPr>
          <w:trHeight w:val="315"/>
        </w:trPr>
        <w:tc>
          <w:tcPr>
            <w:tcW w:w="2140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číslo měření</w:t>
            </w:r>
          </w:p>
        </w:tc>
        <w:tc>
          <w:tcPr>
            <w:tcW w:w="1842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842" w:type="dxa"/>
            <w:tcBorders>
              <w:top w:val="single" w:sz="18" w:space="0" w:color="auto"/>
              <w:left w:val="nil"/>
              <w:bottom w:val="single" w:sz="1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842" w:type="dxa"/>
            <w:tcBorders>
              <w:top w:val="single" w:sz="18" w:space="0" w:color="auto"/>
              <w:left w:val="nil"/>
              <w:bottom w:val="single" w:sz="1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842" w:type="dxa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4</w:t>
            </w:r>
          </w:p>
        </w:tc>
      </w:tr>
      <w:tr w:rsidR="001B46BE" w:rsidRPr="001B46BE" w:rsidTr="00D74747">
        <w:trPr>
          <w:trHeight w:val="300"/>
        </w:trPr>
        <w:tc>
          <w:tcPr>
            <w:tcW w:w="1420" w:type="dxa"/>
            <w:tcBorders>
              <w:top w:val="single" w:sz="18" w:space="0" w:color="auto"/>
              <w:left w:val="single" w:sz="1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1B46BE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T</w:t>
            </w:r>
          </w:p>
        </w:tc>
        <w:tc>
          <w:tcPr>
            <w:tcW w:w="720" w:type="dxa"/>
            <w:tcBorders>
              <w:top w:val="single" w:sz="18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[</w:t>
            </w:r>
            <w:proofErr w:type="spellStart"/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mV</w:t>
            </w:r>
            <w:proofErr w:type="spellEnd"/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]</w:t>
            </w:r>
          </w:p>
        </w:tc>
        <w:tc>
          <w:tcPr>
            <w:tcW w:w="1842" w:type="dxa"/>
            <w:tcBorders>
              <w:top w:val="single" w:sz="18" w:space="0" w:color="auto"/>
              <w:left w:val="single" w:sz="12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1,1</w:t>
            </w:r>
          </w:p>
        </w:tc>
        <w:tc>
          <w:tcPr>
            <w:tcW w:w="1842" w:type="dxa"/>
            <w:tcBorders>
              <w:top w:val="single" w:sz="1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2,7</w:t>
            </w:r>
          </w:p>
        </w:tc>
        <w:tc>
          <w:tcPr>
            <w:tcW w:w="1842" w:type="dxa"/>
            <w:tcBorders>
              <w:top w:val="single" w:sz="1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3,9</w:t>
            </w:r>
          </w:p>
        </w:tc>
        <w:tc>
          <w:tcPr>
            <w:tcW w:w="1842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4,6</w:t>
            </w:r>
          </w:p>
        </w:tc>
      </w:tr>
      <w:tr w:rsidR="001B46BE" w:rsidRPr="001B46BE" w:rsidTr="00D74747">
        <w:trPr>
          <w:trHeight w:val="315"/>
        </w:trPr>
        <w:tc>
          <w:tcPr>
            <w:tcW w:w="1420" w:type="dxa"/>
            <w:tcBorders>
              <w:top w:val="nil"/>
              <w:left w:val="single" w:sz="18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Cu</w:t>
            </w:r>
            <w:proofErr w:type="spellEnd"/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-</w:t>
            </w:r>
            <w:proofErr w:type="spellStart"/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CuNi</w:t>
            </w:r>
            <w:proofErr w:type="spellEnd"/>
          </w:p>
        </w:tc>
        <w:tc>
          <w:tcPr>
            <w:tcW w:w="720" w:type="dxa"/>
            <w:tcBorders>
              <w:top w:val="nil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[°C]</w:t>
            </w:r>
          </w:p>
        </w:tc>
        <w:tc>
          <w:tcPr>
            <w:tcW w:w="1842" w:type="dxa"/>
            <w:tcBorders>
              <w:top w:val="nil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65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92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12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105</w:t>
            </w:r>
          </w:p>
        </w:tc>
      </w:tr>
      <w:tr w:rsidR="001B46BE" w:rsidRPr="001B46BE" w:rsidTr="00D74747">
        <w:trPr>
          <w:trHeight w:val="300"/>
        </w:trPr>
        <w:tc>
          <w:tcPr>
            <w:tcW w:w="1420" w:type="dxa"/>
            <w:tcBorders>
              <w:top w:val="single" w:sz="12" w:space="0" w:color="auto"/>
              <w:left w:val="single" w:sz="1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1B46BE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E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[</w:t>
            </w:r>
            <w:proofErr w:type="spellStart"/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mV</w:t>
            </w:r>
            <w:proofErr w:type="spellEnd"/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]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2,2</w:t>
            </w:r>
          </w:p>
        </w:tc>
        <w:tc>
          <w:tcPr>
            <w:tcW w:w="1842" w:type="dxa"/>
            <w:tcBorders>
              <w:top w:val="single" w:sz="12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5,2</w:t>
            </w:r>
          </w:p>
        </w:tc>
        <w:tc>
          <w:tcPr>
            <w:tcW w:w="1842" w:type="dxa"/>
            <w:tcBorders>
              <w:top w:val="single" w:sz="12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7,4</w:t>
            </w:r>
          </w:p>
        </w:tc>
        <w:tc>
          <w:tcPr>
            <w:tcW w:w="1842" w:type="dxa"/>
            <w:tcBorders>
              <w:top w:val="single" w:sz="12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8,3</w:t>
            </w:r>
          </w:p>
        </w:tc>
      </w:tr>
      <w:tr w:rsidR="001B46BE" w:rsidRPr="001B46BE" w:rsidTr="00D74747">
        <w:trPr>
          <w:trHeight w:val="315"/>
        </w:trPr>
        <w:tc>
          <w:tcPr>
            <w:tcW w:w="1420" w:type="dxa"/>
            <w:tcBorders>
              <w:top w:val="nil"/>
              <w:left w:val="single" w:sz="18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NiCr</w:t>
            </w:r>
            <w:proofErr w:type="spellEnd"/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-</w:t>
            </w:r>
            <w:proofErr w:type="spellStart"/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CuNi</w:t>
            </w:r>
            <w:proofErr w:type="spellEnd"/>
          </w:p>
        </w:tc>
        <w:tc>
          <w:tcPr>
            <w:tcW w:w="720" w:type="dxa"/>
            <w:tcBorders>
              <w:top w:val="nil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[°C]</w:t>
            </w:r>
          </w:p>
        </w:tc>
        <w:tc>
          <w:tcPr>
            <w:tcW w:w="1842" w:type="dxa"/>
            <w:tcBorders>
              <w:top w:val="nil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83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116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12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129</w:t>
            </w:r>
          </w:p>
        </w:tc>
      </w:tr>
      <w:tr w:rsidR="001B46BE" w:rsidRPr="001B46BE" w:rsidTr="00D74747">
        <w:trPr>
          <w:trHeight w:val="300"/>
        </w:trPr>
        <w:tc>
          <w:tcPr>
            <w:tcW w:w="1420" w:type="dxa"/>
            <w:tcBorders>
              <w:top w:val="single" w:sz="12" w:space="0" w:color="auto"/>
              <w:left w:val="single" w:sz="1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1B46BE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J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[</w:t>
            </w:r>
            <w:proofErr w:type="spellStart"/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mV</w:t>
            </w:r>
            <w:proofErr w:type="spellEnd"/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]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1,7</w:t>
            </w:r>
          </w:p>
        </w:tc>
        <w:tc>
          <w:tcPr>
            <w:tcW w:w="1842" w:type="dxa"/>
            <w:tcBorders>
              <w:top w:val="single" w:sz="12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4,2</w:t>
            </w:r>
          </w:p>
        </w:tc>
        <w:tc>
          <w:tcPr>
            <w:tcW w:w="1842" w:type="dxa"/>
            <w:tcBorders>
              <w:top w:val="single" w:sz="12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5,95</w:t>
            </w:r>
          </w:p>
        </w:tc>
        <w:tc>
          <w:tcPr>
            <w:tcW w:w="1842" w:type="dxa"/>
            <w:tcBorders>
              <w:top w:val="single" w:sz="12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6,8</w:t>
            </w:r>
          </w:p>
        </w:tc>
      </w:tr>
      <w:tr w:rsidR="001B46BE" w:rsidRPr="001B46BE" w:rsidTr="00D74747">
        <w:trPr>
          <w:trHeight w:val="315"/>
        </w:trPr>
        <w:tc>
          <w:tcPr>
            <w:tcW w:w="1420" w:type="dxa"/>
            <w:tcBorders>
              <w:top w:val="nil"/>
              <w:left w:val="single" w:sz="18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Fe</w:t>
            </w:r>
            <w:proofErr w:type="spellEnd"/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-</w:t>
            </w:r>
            <w:proofErr w:type="spellStart"/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CuNi</w:t>
            </w:r>
            <w:proofErr w:type="spellEnd"/>
          </w:p>
        </w:tc>
        <w:tc>
          <w:tcPr>
            <w:tcW w:w="720" w:type="dxa"/>
            <w:tcBorders>
              <w:top w:val="nil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[°C]</w:t>
            </w:r>
          </w:p>
        </w:tc>
        <w:tc>
          <w:tcPr>
            <w:tcW w:w="1842" w:type="dxa"/>
            <w:tcBorders>
              <w:top w:val="nil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80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113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12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128</w:t>
            </w:r>
          </w:p>
        </w:tc>
      </w:tr>
      <w:tr w:rsidR="001B46BE" w:rsidRPr="001B46BE" w:rsidTr="00D74747">
        <w:trPr>
          <w:trHeight w:val="300"/>
        </w:trPr>
        <w:tc>
          <w:tcPr>
            <w:tcW w:w="1420" w:type="dxa"/>
            <w:tcBorders>
              <w:top w:val="single" w:sz="12" w:space="0" w:color="auto"/>
              <w:left w:val="single" w:sz="1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1B46BE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 xml:space="preserve">K - </w:t>
            </w:r>
            <w:proofErr w:type="spellStart"/>
            <w:r w:rsidRPr="001B46BE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ref</w:t>
            </w:r>
            <w:proofErr w:type="spellEnd"/>
            <w:r w:rsidRPr="001B46BE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.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[</w:t>
            </w:r>
            <w:proofErr w:type="spellStart"/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mV</w:t>
            </w:r>
            <w:proofErr w:type="spellEnd"/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]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1,4</w:t>
            </w:r>
          </w:p>
        </w:tc>
        <w:tc>
          <w:tcPr>
            <w:tcW w:w="1842" w:type="dxa"/>
            <w:tcBorders>
              <w:top w:val="single" w:sz="12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3,2</w:t>
            </w:r>
          </w:p>
        </w:tc>
        <w:tc>
          <w:tcPr>
            <w:tcW w:w="1842" w:type="dxa"/>
            <w:tcBorders>
              <w:top w:val="single" w:sz="12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4,4</w:t>
            </w:r>
          </w:p>
        </w:tc>
        <w:tc>
          <w:tcPr>
            <w:tcW w:w="1842" w:type="dxa"/>
            <w:tcBorders>
              <w:top w:val="single" w:sz="12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4,9</w:t>
            </w:r>
          </w:p>
        </w:tc>
      </w:tr>
      <w:tr w:rsidR="001B46BE" w:rsidRPr="001B46BE" w:rsidTr="00D74747">
        <w:trPr>
          <w:trHeight w:val="315"/>
        </w:trPr>
        <w:tc>
          <w:tcPr>
            <w:tcW w:w="1420" w:type="dxa"/>
            <w:tcBorders>
              <w:top w:val="nil"/>
              <w:left w:val="single" w:sz="18" w:space="0" w:color="auto"/>
              <w:bottom w:val="single" w:sz="1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NiCr</w:t>
            </w:r>
            <w:proofErr w:type="spellEnd"/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-</w:t>
            </w:r>
            <w:proofErr w:type="spellStart"/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NiAl</w:t>
            </w:r>
            <w:proofErr w:type="spellEnd"/>
          </w:p>
        </w:tc>
        <w:tc>
          <w:tcPr>
            <w:tcW w:w="720" w:type="dxa"/>
            <w:tcBorders>
              <w:top w:val="nil"/>
              <w:left w:val="single" w:sz="8" w:space="0" w:color="auto"/>
              <w:bottom w:val="single" w:sz="1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[°C]</w:t>
            </w:r>
          </w:p>
        </w:tc>
        <w:tc>
          <w:tcPr>
            <w:tcW w:w="1842" w:type="dxa"/>
            <w:tcBorders>
              <w:top w:val="nil"/>
              <w:left w:val="single" w:sz="12" w:space="0" w:color="auto"/>
              <w:bottom w:val="single" w:sz="1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1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79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1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108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:rsidR="001B46BE" w:rsidRPr="001B46BE" w:rsidRDefault="001B46BE" w:rsidP="001B46BE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B46BE">
              <w:rPr>
                <w:rFonts w:ascii="Calibri" w:hAnsi="Calibri"/>
                <w:color w:val="000000"/>
                <w:sz w:val="22"/>
                <w:szCs w:val="22"/>
              </w:rPr>
              <w:t>120</w:t>
            </w:r>
          </w:p>
        </w:tc>
      </w:tr>
    </w:tbl>
    <w:p w:rsidR="0064338C" w:rsidRDefault="0064338C" w:rsidP="0064338C"/>
    <w:p w:rsidR="00C9574D" w:rsidRDefault="00C9574D" w:rsidP="0064338C">
      <w:r>
        <w:t>Příklad výpočtu dvouprocentní odchylky:</w:t>
      </w:r>
    </w:p>
    <w:p w:rsidR="00AF628B" w:rsidRDefault="00AF628B" w:rsidP="0064338C"/>
    <w:p w:rsidR="00C9574D" w:rsidRDefault="00496752" w:rsidP="0064338C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35</m:t>
          </m:r>
          <m:r>
            <w:rPr>
              <w:rFonts w:ascii="Cambria Math" w:hAnsi="Cambria Math"/>
            </w:rPr>
            <m:t>°</m:t>
          </m:r>
          <m:r>
            <m:rPr>
              <m:sty m:val="p"/>
            </m:rPr>
            <w:rPr>
              <w:rFonts w:ascii="Cambria Math" w:hAnsi="Cambria Math"/>
            </w:rPr>
            <m:t>C</m:t>
          </m:r>
        </m:oMath>
      </m:oMathPara>
    </w:p>
    <w:p w:rsidR="000360BF" w:rsidRDefault="000360BF" w:rsidP="0064338C"/>
    <w:p w:rsidR="00C9574D" w:rsidRDefault="00496752" w:rsidP="00C9574D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  <m:sub>
              <m:r>
                <w:rPr>
                  <w:rFonts w:ascii="Cambria Math" w:hAnsi="Cambria Math"/>
                </w:rPr>
                <m:t>1%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35</m:t>
              </m:r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  <m:r>
            <w:rPr>
              <w:rFonts w:ascii="Cambria Math" w:hAnsi="Cambria Math"/>
            </w:rPr>
            <m:t>=0,</m:t>
          </m:r>
          <m:r>
            <w:rPr>
              <w:rFonts w:ascii="Cambria Math" w:hAnsi="Cambria Math"/>
            </w:rPr>
            <m:t>35</m:t>
          </m:r>
          <m:r>
            <w:rPr>
              <w:rFonts w:ascii="Cambria Math" w:hAnsi="Cambria Math"/>
            </w:rPr>
            <m:t>°</m:t>
          </m:r>
          <m:r>
            <m:rPr>
              <m:sty m:val="p"/>
            </m:rPr>
            <w:rPr>
              <w:rFonts w:ascii="Cambria Math" w:hAnsi="Cambria Math"/>
            </w:rPr>
            <m:t>C</m:t>
          </m:r>
        </m:oMath>
      </m:oMathPara>
    </w:p>
    <w:p w:rsidR="000360BF" w:rsidRDefault="000360BF" w:rsidP="00C9574D"/>
    <w:p w:rsidR="00C9574D" w:rsidRDefault="00496752" w:rsidP="00C9574D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odchylka</m:t>
              </m:r>
            </m:sub>
          </m:sSub>
          <m:r>
            <w:rPr>
              <w:rFonts w:ascii="Cambria Math" w:hAnsi="Cambria Math"/>
            </w:rPr>
            <m:t>=±2∙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  <m:sub>
              <m:r>
                <w:rPr>
                  <w:rFonts w:ascii="Cambria Math" w:hAnsi="Cambria Math"/>
                </w:rPr>
                <m:t>1%</m:t>
              </m:r>
            </m:sub>
          </m:sSub>
          <m:r>
            <w:rPr>
              <w:rFonts w:ascii="Cambria Math" w:hAnsi="Cambria Math"/>
            </w:rPr>
            <m:t>=±2∙0,</m:t>
          </m:r>
          <m:r>
            <w:rPr>
              <w:rFonts w:ascii="Cambria Math" w:hAnsi="Cambria Math"/>
            </w:rPr>
            <m:t>35</m:t>
          </m:r>
          <m:r>
            <w:rPr>
              <w:rFonts w:ascii="Cambria Math" w:hAnsi="Cambria Math"/>
            </w:rPr>
            <m:t>=±0,</m:t>
          </m:r>
          <m:r>
            <w:rPr>
              <w:rFonts w:ascii="Cambria Math" w:hAnsi="Cambria Math"/>
            </w:rPr>
            <m:t>7</m:t>
          </m:r>
          <m:r>
            <w:rPr>
              <w:rFonts w:ascii="Cambria Math" w:hAnsi="Cambria Math"/>
            </w:rPr>
            <m:t>°C</m:t>
          </m:r>
        </m:oMath>
      </m:oMathPara>
    </w:p>
    <w:p w:rsidR="00EC6EA2" w:rsidRDefault="00EC6EA2" w:rsidP="00C9574D"/>
    <w:p w:rsidR="001967E3" w:rsidRDefault="001967E3">
      <w:pPr>
        <w:rPr>
          <w:b/>
          <w:sz w:val="36"/>
          <w:szCs w:val="20"/>
        </w:rPr>
      </w:pPr>
      <w:r>
        <w:br w:type="page"/>
      </w:r>
    </w:p>
    <w:p w:rsidR="00C9574D" w:rsidRDefault="00EC6EA2" w:rsidP="001967E3">
      <w:pPr>
        <w:pStyle w:val="Nadpis1"/>
        <w:jc w:val="left"/>
      </w:pPr>
      <w:r>
        <w:lastRenderedPageBreak/>
        <w:t>Grafy</w:t>
      </w:r>
      <w:r w:rsidR="00525BDE" w:rsidRPr="00525BDE">
        <w:drawing>
          <wp:inline distT="0" distB="0" distL="0" distR="0">
            <wp:extent cx="6120143" cy="3960000"/>
            <wp:effectExtent l="0" t="0" r="0" b="0"/>
            <wp:docPr id="4" name="Graf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A54E78" w:rsidRDefault="00A54E78" w:rsidP="00C9574D"/>
    <w:p w:rsidR="00A54E78" w:rsidRDefault="00525BDE" w:rsidP="00C9574D">
      <w:r w:rsidRPr="00525BDE">
        <w:drawing>
          <wp:inline distT="0" distB="0" distL="0" distR="0">
            <wp:extent cx="6120143" cy="3960000"/>
            <wp:effectExtent l="0" t="0" r="0" b="0"/>
            <wp:docPr id="5" name="Graf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61757E" w:rsidRDefault="0061757E" w:rsidP="00C9574D"/>
    <w:p w:rsidR="0061757E" w:rsidRDefault="0061757E" w:rsidP="00C9574D"/>
    <w:p w:rsidR="00C9574D" w:rsidRDefault="00C9574D" w:rsidP="00C9574D"/>
    <w:p w:rsidR="00C9574D" w:rsidRDefault="00881A97" w:rsidP="0064338C">
      <w:r w:rsidRPr="00881A97">
        <w:lastRenderedPageBreak/>
        <w:drawing>
          <wp:inline distT="0" distB="0" distL="0" distR="0">
            <wp:extent cx="6120143" cy="3960000"/>
            <wp:effectExtent l="0" t="0" r="0" b="0"/>
            <wp:docPr id="9" name="Graf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C9574D" w:rsidRDefault="00881A97" w:rsidP="0064338C">
      <w:r w:rsidRPr="00881A97">
        <w:drawing>
          <wp:inline distT="0" distB="0" distL="0" distR="0">
            <wp:extent cx="6120143" cy="3960000"/>
            <wp:effectExtent l="0" t="0" r="0" b="0"/>
            <wp:docPr id="11" name="Graf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290B1B" w:rsidRDefault="00290B1B" w:rsidP="0064338C"/>
    <w:p w:rsidR="00290B1B" w:rsidRDefault="00290B1B">
      <w:r>
        <w:br w:type="page"/>
      </w:r>
    </w:p>
    <w:p w:rsidR="0060219E" w:rsidRDefault="00290B1B" w:rsidP="00290B1B">
      <w:pPr>
        <w:pStyle w:val="Nadpis1"/>
        <w:jc w:val="left"/>
      </w:pPr>
      <w:r>
        <w:lastRenderedPageBreak/>
        <w:t>Závěr</w:t>
      </w:r>
    </w:p>
    <w:p w:rsidR="008B576D" w:rsidRDefault="008B576D" w:rsidP="0060219E"/>
    <w:p w:rsidR="0060219E" w:rsidRPr="00421194" w:rsidRDefault="008B576D" w:rsidP="00421194">
      <w:pPr>
        <w:jc w:val="both"/>
      </w:pPr>
      <w:r w:rsidRPr="00421194">
        <w:t>Z měření vypl</w:t>
      </w:r>
      <w:r w:rsidR="0058709F">
        <w:t>ý</w:t>
      </w:r>
      <w:r w:rsidRPr="00421194">
        <w:t>vá, že od reference se nejvíce odchyluje termočlánek typu T (</w:t>
      </w:r>
      <w:proofErr w:type="spellStart"/>
      <w:r w:rsidRPr="001B46BE">
        <w:rPr>
          <w:color w:val="000000"/>
        </w:rPr>
        <w:t>Cu</w:t>
      </w:r>
      <w:proofErr w:type="spellEnd"/>
      <w:r w:rsidRPr="001B46BE">
        <w:rPr>
          <w:color w:val="000000"/>
        </w:rPr>
        <w:t>-</w:t>
      </w:r>
      <w:proofErr w:type="spellStart"/>
      <w:r w:rsidRPr="001B46BE">
        <w:rPr>
          <w:color w:val="000000"/>
        </w:rPr>
        <w:t>CuNi</w:t>
      </w:r>
      <w:proofErr w:type="spellEnd"/>
      <w:r w:rsidRPr="00421194">
        <w:t xml:space="preserve">), termočlánek se odchyluje o 7°C už při prvním pokusném měření bez zapnuté pícky. </w:t>
      </w:r>
      <w:r w:rsidR="00AE4651" w:rsidRPr="00421194">
        <w:t>Jako mnohem přesnější se ukázaly termočlánky E (</w:t>
      </w:r>
      <w:proofErr w:type="spellStart"/>
      <w:r w:rsidR="00AE4651" w:rsidRPr="001B46BE">
        <w:rPr>
          <w:color w:val="000000"/>
        </w:rPr>
        <w:t>NiCr</w:t>
      </w:r>
      <w:proofErr w:type="spellEnd"/>
      <w:r w:rsidR="00AE4651" w:rsidRPr="001B46BE">
        <w:rPr>
          <w:color w:val="000000"/>
        </w:rPr>
        <w:t>-</w:t>
      </w:r>
      <w:proofErr w:type="spellStart"/>
      <w:r w:rsidR="00AE4651" w:rsidRPr="001B46BE">
        <w:rPr>
          <w:color w:val="000000"/>
        </w:rPr>
        <w:t>CuNi</w:t>
      </w:r>
      <w:proofErr w:type="spellEnd"/>
      <w:r w:rsidR="00AE4651" w:rsidRPr="00421194">
        <w:rPr>
          <w:color w:val="000000"/>
        </w:rPr>
        <w:t>)</w:t>
      </w:r>
      <w:r w:rsidR="00AE4651" w:rsidRPr="00421194">
        <w:t xml:space="preserve"> a J (</w:t>
      </w:r>
      <w:proofErr w:type="spellStart"/>
      <w:r w:rsidR="00AE4651" w:rsidRPr="001B46BE">
        <w:rPr>
          <w:color w:val="000000"/>
        </w:rPr>
        <w:t>Fe</w:t>
      </w:r>
      <w:proofErr w:type="spellEnd"/>
      <w:r w:rsidR="00AE4651" w:rsidRPr="001B46BE">
        <w:rPr>
          <w:color w:val="000000"/>
        </w:rPr>
        <w:t>-</w:t>
      </w:r>
      <w:proofErr w:type="spellStart"/>
      <w:r w:rsidR="00AE4651" w:rsidRPr="001B46BE">
        <w:rPr>
          <w:color w:val="000000"/>
        </w:rPr>
        <w:t>CuNi</w:t>
      </w:r>
      <w:proofErr w:type="spellEnd"/>
      <w:r w:rsidR="00AE4651" w:rsidRPr="00421194">
        <w:t xml:space="preserve">). V případě termočlánku typu J se teplota neodchyluje od reference o </w:t>
      </w:r>
      <w:r w:rsidR="00A34662" w:rsidRPr="00421194">
        <w:t xml:space="preserve">více než </w:t>
      </w:r>
      <m:oMath>
        <m:r>
          <w:rPr>
            <w:rFonts w:ascii="Cambria Math" w:hAnsi="Cambria Math"/>
          </w:rPr>
          <m:t>±</m:t>
        </m:r>
      </m:oMath>
      <w:r w:rsidR="00A34662" w:rsidRPr="00421194">
        <w:t xml:space="preserve">2% </w:t>
      </w:r>
      <w:r w:rsidR="00DB6E98">
        <w:t>(</w:t>
      </w:r>
      <w:r w:rsidR="00A34662" w:rsidRPr="00421194">
        <w:t>dovolená odchylka</w:t>
      </w:r>
      <w:r w:rsidR="00DB6E98">
        <w:t>)</w:t>
      </w:r>
      <w:r w:rsidR="00A34662" w:rsidRPr="00421194">
        <w:t xml:space="preserve"> až téměř do 90°C. Se zvyšující se teplotou je odchylka překročena a při posledním měření</w:t>
      </w:r>
      <w:r w:rsidR="00283255">
        <w:t xml:space="preserve"> už</w:t>
      </w:r>
      <w:r w:rsidR="00A34662" w:rsidRPr="00421194">
        <w:t xml:space="preserve"> činí rozdíl teplot</w:t>
      </w:r>
      <w:r w:rsidR="00283255">
        <w:t xml:space="preserve"> mezi referenčním článkem a článkem typu J</w:t>
      </w:r>
      <w:r w:rsidR="00A34662" w:rsidRPr="00421194">
        <w:t xml:space="preserve"> 8°C.</w:t>
      </w:r>
      <w:r w:rsidR="00E16273" w:rsidRPr="00421194">
        <w:t xml:space="preserve"> Velmi podobná je potom i křivka termočlánku typu E, obecně však termočlánek typu J vychází z našeho měření jako nejpřesnější. Naměřené hodnoty jsou přesto stále spíše orientačními. Dané odchylky mohou být způsobeny nedokonale vodivým spojením jednotlivých kovů termočlánku, rozdílnou polohou článků v pícce či ve studené lázni ne</w:t>
      </w:r>
      <w:r w:rsidR="00283255">
        <w:t>bo odečtem</w:t>
      </w:r>
      <w:r w:rsidR="00E16273" w:rsidRPr="00421194">
        <w:t xml:space="preserve"> hodnot před úplným ustálením teploty.</w:t>
      </w:r>
      <w:r w:rsidR="00C91BD2">
        <w:t xml:space="preserve"> Vliv mělo i přepočítávání </w:t>
      </w:r>
      <w:proofErr w:type="spellStart"/>
      <w:r w:rsidR="00C91BD2">
        <w:t>mV</w:t>
      </w:r>
      <w:proofErr w:type="spellEnd"/>
      <w:r w:rsidR="00C91BD2">
        <w:t xml:space="preserve"> na °C pomocí tabulky, kdy byla hledána nejbližší hodnota v </w:t>
      </w:r>
      <w:proofErr w:type="spellStart"/>
      <w:r w:rsidR="00C91BD2">
        <w:t>mV</w:t>
      </w:r>
      <w:proofErr w:type="spellEnd"/>
      <w:r w:rsidR="00C91BD2">
        <w:t xml:space="preserve"> k námi naměřené. </w:t>
      </w:r>
    </w:p>
    <w:p w:rsidR="00290B1B" w:rsidRPr="0064338C" w:rsidRDefault="0060219E" w:rsidP="00290B1B">
      <w:pPr>
        <w:pStyle w:val="Nadpis1"/>
        <w:jc w:val="left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918210" y="899160"/>
            <wp:positionH relativeFrom="margin">
              <wp:align>center</wp:align>
            </wp:positionH>
            <wp:positionV relativeFrom="margin">
              <wp:align>top</wp:align>
            </wp:positionV>
            <wp:extent cx="6503670" cy="9197340"/>
            <wp:effectExtent l="19050" t="0" r="0" b="0"/>
            <wp:wrapSquare wrapText="bothSides"/>
            <wp:docPr id="10" name="Obrázek 9" descr="img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00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3670" cy="919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90B1B" w:rsidRPr="0064338C" w:rsidSect="001200D6">
      <w:type w:val="continuous"/>
      <w:pgSz w:w="11907" w:h="16840" w:code="9"/>
      <w:pgMar w:top="1418" w:right="1418" w:bottom="1418" w:left="1418" w:header="0" w:footer="0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5"/>
  <w:embedSystemFonts/>
  <w:proofState w:spelling="clean"/>
  <w:stylePaneFormatFilter w:val="3F01"/>
  <w:defaultTabStop w:val="708"/>
  <w:hyphenationZone w:val="425"/>
  <w:noPunctuationKerning/>
  <w:characterSpacingControl w:val="doNotCompress"/>
  <w:compat/>
  <w:rsids>
    <w:rsidRoot w:val="000979DD"/>
    <w:rsid w:val="00001862"/>
    <w:rsid w:val="000360BF"/>
    <w:rsid w:val="00096346"/>
    <w:rsid w:val="000979DD"/>
    <w:rsid w:val="000D4223"/>
    <w:rsid w:val="000E02CA"/>
    <w:rsid w:val="000E5C5A"/>
    <w:rsid w:val="001200D6"/>
    <w:rsid w:val="00144201"/>
    <w:rsid w:val="00150906"/>
    <w:rsid w:val="0015507B"/>
    <w:rsid w:val="0018338E"/>
    <w:rsid w:val="001967E3"/>
    <w:rsid w:val="001A76F2"/>
    <w:rsid w:val="001B46BE"/>
    <w:rsid w:val="001C2265"/>
    <w:rsid w:val="001C6F35"/>
    <w:rsid w:val="00211B17"/>
    <w:rsid w:val="00283255"/>
    <w:rsid w:val="00290B1B"/>
    <w:rsid w:val="002B52E4"/>
    <w:rsid w:val="002F3EC7"/>
    <w:rsid w:val="003210F5"/>
    <w:rsid w:val="003A5E5A"/>
    <w:rsid w:val="003C20D0"/>
    <w:rsid w:val="003C2F1F"/>
    <w:rsid w:val="003E68C2"/>
    <w:rsid w:val="00421194"/>
    <w:rsid w:val="004354DF"/>
    <w:rsid w:val="00453116"/>
    <w:rsid w:val="0048052F"/>
    <w:rsid w:val="00496752"/>
    <w:rsid w:val="004B17B1"/>
    <w:rsid w:val="004E0838"/>
    <w:rsid w:val="00525BDE"/>
    <w:rsid w:val="00532918"/>
    <w:rsid w:val="00554D7A"/>
    <w:rsid w:val="0058709F"/>
    <w:rsid w:val="005A7B98"/>
    <w:rsid w:val="005D31B3"/>
    <w:rsid w:val="0060219E"/>
    <w:rsid w:val="0061757E"/>
    <w:rsid w:val="0064338C"/>
    <w:rsid w:val="00654B6D"/>
    <w:rsid w:val="00696F6A"/>
    <w:rsid w:val="006B62E0"/>
    <w:rsid w:val="007C7990"/>
    <w:rsid w:val="007D2196"/>
    <w:rsid w:val="007E1EED"/>
    <w:rsid w:val="007E5B59"/>
    <w:rsid w:val="0084607B"/>
    <w:rsid w:val="00875DE9"/>
    <w:rsid w:val="00881A97"/>
    <w:rsid w:val="008B576D"/>
    <w:rsid w:val="008E324C"/>
    <w:rsid w:val="009827A8"/>
    <w:rsid w:val="0098617B"/>
    <w:rsid w:val="00991832"/>
    <w:rsid w:val="00994355"/>
    <w:rsid w:val="009D5952"/>
    <w:rsid w:val="00A34662"/>
    <w:rsid w:val="00A54E78"/>
    <w:rsid w:val="00A809DC"/>
    <w:rsid w:val="00A81082"/>
    <w:rsid w:val="00AB7C20"/>
    <w:rsid w:val="00AE30D6"/>
    <w:rsid w:val="00AE4651"/>
    <w:rsid w:val="00AF628B"/>
    <w:rsid w:val="00B04EE8"/>
    <w:rsid w:val="00B43362"/>
    <w:rsid w:val="00B91A96"/>
    <w:rsid w:val="00C81550"/>
    <w:rsid w:val="00C91BD2"/>
    <w:rsid w:val="00C9574D"/>
    <w:rsid w:val="00D01242"/>
    <w:rsid w:val="00D12F5F"/>
    <w:rsid w:val="00D14E76"/>
    <w:rsid w:val="00D74747"/>
    <w:rsid w:val="00DB53BD"/>
    <w:rsid w:val="00DB6E98"/>
    <w:rsid w:val="00E02851"/>
    <w:rsid w:val="00E15433"/>
    <w:rsid w:val="00E16273"/>
    <w:rsid w:val="00E467AD"/>
    <w:rsid w:val="00EA546E"/>
    <w:rsid w:val="00EC6EA2"/>
    <w:rsid w:val="00EF6B45"/>
    <w:rsid w:val="00F251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1200D6"/>
    <w:rPr>
      <w:sz w:val="24"/>
      <w:szCs w:val="24"/>
    </w:rPr>
  </w:style>
  <w:style w:type="paragraph" w:styleId="Nadpis1">
    <w:name w:val="heading 1"/>
    <w:basedOn w:val="Normln"/>
    <w:next w:val="Normln"/>
    <w:qFormat/>
    <w:rsid w:val="001200D6"/>
    <w:pPr>
      <w:keepNext/>
      <w:jc w:val="center"/>
      <w:outlineLvl w:val="0"/>
    </w:pPr>
    <w:rPr>
      <w:b/>
      <w:sz w:val="36"/>
      <w:szCs w:val="20"/>
    </w:rPr>
  </w:style>
  <w:style w:type="paragraph" w:styleId="Nadpis2">
    <w:name w:val="heading 2"/>
    <w:basedOn w:val="Normln"/>
    <w:next w:val="Normln"/>
    <w:qFormat/>
    <w:rsid w:val="001200D6"/>
    <w:pPr>
      <w:keepNext/>
      <w:jc w:val="center"/>
      <w:outlineLvl w:val="1"/>
    </w:pPr>
    <w:rPr>
      <w:sz w:val="28"/>
      <w:szCs w:val="20"/>
    </w:rPr>
  </w:style>
  <w:style w:type="paragraph" w:styleId="Nadpis3">
    <w:name w:val="heading 3"/>
    <w:basedOn w:val="Normln"/>
    <w:next w:val="Normln"/>
    <w:qFormat/>
    <w:rsid w:val="001200D6"/>
    <w:pPr>
      <w:keepNext/>
      <w:jc w:val="center"/>
      <w:outlineLvl w:val="2"/>
    </w:pPr>
    <w:rPr>
      <w:b/>
      <w:sz w:val="28"/>
      <w:szCs w:val="20"/>
    </w:rPr>
  </w:style>
  <w:style w:type="paragraph" w:styleId="Nadpis4">
    <w:name w:val="heading 4"/>
    <w:basedOn w:val="Normln"/>
    <w:next w:val="Normln"/>
    <w:qFormat/>
    <w:rsid w:val="001200D6"/>
    <w:pPr>
      <w:keepNext/>
      <w:outlineLvl w:val="3"/>
    </w:pPr>
    <w:rPr>
      <w:szCs w:val="20"/>
    </w:rPr>
  </w:style>
  <w:style w:type="paragraph" w:styleId="Nadpis5">
    <w:name w:val="heading 5"/>
    <w:basedOn w:val="Normln"/>
    <w:next w:val="Normln"/>
    <w:qFormat/>
    <w:rsid w:val="001200D6"/>
    <w:pPr>
      <w:keepNext/>
      <w:jc w:val="center"/>
      <w:outlineLvl w:val="4"/>
    </w:pPr>
    <w:rPr>
      <w:sz w:val="36"/>
    </w:rPr>
  </w:style>
  <w:style w:type="paragraph" w:styleId="Nadpis6">
    <w:name w:val="heading 6"/>
    <w:basedOn w:val="Normln"/>
    <w:next w:val="Normln"/>
    <w:qFormat/>
    <w:rsid w:val="001200D6"/>
    <w:pPr>
      <w:keepNext/>
      <w:ind w:left="7513"/>
      <w:jc w:val="right"/>
      <w:outlineLvl w:val="5"/>
    </w:pPr>
    <w:rPr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zev">
    <w:name w:val="Title"/>
    <w:basedOn w:val="Normln"/>
    <w:qFormat/>
    <w:rsid w:val="001200D6"/>
    <w:pPr>
      <w:jc w:val="center"/>
    </w:pPr>
    <w:rPr>
      <w:sz w:val="28"/>
      <w:szCs w:val="20"/>
    </w:rPr>
  </w:style>
  <w:style w:type="table" w:styleId="Mkatabulky">
    <w:name w:val="Table Grid"/>
    <w:basedOn w:val="Normlntabulka"/>
    <w:rsid w:val="00D14E7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Zstupntext">
    <w:name w:val="Placeholder Text"/>
    <w:basedOn w:val="Standardnpsmoodstavce"/>
    <w:uiPriority w:val="99"/>
    <w:semiHidden/>
    <w:rsid w:val="003A5E5A"/>
    <w:rPr>
      <w:color w:val="80808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3A5E5A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3A5E5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45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3.xml"/><Relationship Id="rId3" Type="http://schemas.openxmlformats.org/officeDocument/2006/relationships/webSettings" Target="webSettings.xml"/><Relationship Id="rId7" Type="http://schemas.openxmlformats.org/officeDocument/2006/relationships/chart" Target="charts/chart2.xm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3.jpeg"/><Relationship Id="rId4" Type="http://schemas.openxmlformats.org/officeDocument/2006/relationships/image" Target="media/image1.png"/><Relationship Id="rId9" Type="http://schemas.openxmlformats.org/officeDocument/2006/relationships/chart" Target="charts/chart4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Kasi\Desktop\Elaby\ZETP\Termoclanky\termoclanky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Kasi\Desktop\Elaby\ZETP\Termoclanky\termoclanky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Kasi\Desktop\Elaby\ZETP\Termoclanky\termoclanky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Kasi\Desktop\Elaby\ZETP\Termoclanky\termoclanky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cs-CZ"/>
  <c:chart>
    <c:title>
      <c:tx>
        <c:rich>
          <a:bodyPr/>
          <a:lstStyle/>
          <a:p>
            <a:pPr>
              <a:defRPr/>
            </a:pPr>
            <a:r>
              <a:rPr lang="cs-CZ"/>
              <a:t>Termočlánek typu T</a:t>
            </a:r>
          </a:p>
        </c:rich>
      </c:tx>
    </c:title>
    <c:plotArea>
      <c:layout/>
      <c:scatterChart>
        <c:scatterStyle val="smoothMarker"/>
        <c:ser>
          <c:idx val="0"/>
          <c:order val="0"/>
          <c:tx>
            <c:strRef>
              <c:f>List1!$A$2</c:f>
              <c:strCache>
                <c:ptCount val="1"/>
                <c:pt idx="0">
                  <c:v>T</c:v>
                </c:pt>
              </c:strCache>
            </c:strRef>
          </c:tx>
          <c:marker>
            <c:symbol val="circle"/>
            <c:size val="4"/>
          </c:marker>
          <c:xVal>
            <c:numRef>
              <c:f>List1!$C$1:$F$1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</c:numCache>
            </c:numRef>
          </c:xVal>
          <c:yVal>
            <c:numRef>
              <c:f>List1!$C$3:$F$3</c:f>
              <c:numCache>
                <c:formatCode>General</c:formatCode>
                <c:ptCount val="4"/>
                <c:pt idx="0">
                  <c:v>28</c:v>
                </c:pt>
                <c:pt idx="1">
                  <c:v>65</c:v>
                </c:pt>
                <c:pt idx="2">
                  <c:v>92</c:v>
                </c:pt>
                <c:pt idx="3">
                  <c:v>105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List1!$A$8</c:f>
              <c:strCache>
                <c:ptCount val="1"/>
                <c:pt idx="0">
                  <c:v>K - ref.</c:v>
                </c:pt>
              </c:strCache>
            </c:strRef>
          </c:tx>
          <c:marker>
            <c:symbol val="circle"/>
            <c:size val="4"/>
          </c:marker>
          <c:xVal>
            <c:numRef>
              <c:f>List1!$C$1:$F$1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</c:numCache>
            </c:numRef>
          </c:xVal>
          <c:yVal>
            <c:numRef>
              <c:f>List1!$C$9:$F$9</c:f>
              <c:numCache>
                <c:formatCode>General</c:formatCode>
                <c:ptCount val="4"/>
                <c:pt idx="0">
                  <c:v>35</c:v>
                </c:pt>
                <c:pt idx="1">
                  <c:v>79</c:v>
                </c:pt>
                <c:pt idx="2">
                  <c:v>108</c:v>
                </c:pt>
                <c:pt idx="3">
                  <c:v>120</c:v>
                </c:pt>
              </c:numCache>
            </c:numRef>
          </c:yVal>
          <c:smooth val="1"/>
        </c:ser>
        <c:ser>
          <c:idx val="2"/>
          <c:order val="2"/>
          <c:spPr>
            <a:ln w="15875">
              <a:solidFill>
                <a:schemeClr val="bg1">
                  <a:lumMod val="50000"/>
                </a:schemeClr>
              </a:solidFill>
              <a:prstDash val="dash"/>
            </a:ln>
          </c:spPr>
          <c:marker>
            <c:symbol val="none"/>
          </c:marker>
          <c:xVal>
            <c:numRef>
              <c:f>List1!$C$1:$F$1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</c:numCache>
            </c:numRef>
          </c:xVal>
          <c:yVal>
            <c:numRef>
              <c:f>List1!$I$11:$L$11</c:f>
              <c:numCache>
                <c:formatCode>General</c:formatCode>
                <c:ptCount val="4"/>
                <c:pt idx="0">
                  <c:v>35.700000000000003</c:v>
                </c:pt>
                <c:pt idx="1">
                  <c:v>80.58</c:v>
                </c:pt>
                <c:pt idx="2">
                  <c:v>110.16</c:v>
                </c:pt>
                <c:pt idx="3">
                  <c:v>122.4</c:v>
                </c:pt>
              </c:numCache>
            </c:numRef>
          </c:yVal>
          <c:smooth val="1"/>
        </c:ser>
        <c:ser>
          <c:idx val="3"/>
          <c:order val="3"/>
          <c:spPr>
            <a:ln w="15875">
              <a:solidFill>
                <a:schemeClr val="bg1">
                  <a:lumMod val="50000"/>
                </a:schemeClr>
              </a:solidFill>
              <a:prstDash val="dash"/>
            </a:ln>
          </c:spPr>
          <c:marker>
            <c:symbol val="none"/>
          </c:marker>
          <c:xVal>
            <c:numRef>
              <c:f>List1!$C$1:$F$1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</c:numCache>
            </c:numRef>
          </c:xVal>
          <c:yVal>
            <c:numRef>
              <c:f>List1!$I$12:$L$12</c:f>
              <c:numCache>
                <c:formatCode>General</c:formatCode>
                <c:ptCount val="4"/>
                <c:pt idx="0">
                  <c:v>34.300000000000011</c:v>
                </c:pt>
                <c:pt idx="1">
                  <c:v>77.42</c:v>
                </c:pt>
                <c:pt idx="2">
                  <c:v>105.84</c:v>
                </c:pt>
                <c:pt idx="3">
                  <c:v>117.6</c:v>
                </c:pt>
              </c:numCache>
            </c:numRef>
          </c:yVal>
          <c:smooth val="1"/>
        </c:ser>
        <c:axId val="107113472"/>
        <c:axId val="96884224"/>
      </c:scatterChart>
      <c:valAx>
        <c:axId val="107113472"/>
        <c:scaling>
          <c:orientation val="minMax"/>
          <c:max val="4"/>
          <c:min val="1"/>
        </c:scaling>
        <c:axPos val="b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cs-CZ"/>
                  <a:t>Číslo měření</a:t>
                </a:r>
              </a:p>
            </c:rich>
          </c:tx>
        </c:title>
        <c:numFmt formatCode="General" sourceLinked="1"/>
        <c:tickLblPos val="nextTo"/>
        <c:crossAx val="96884224"/>
        <c:crosses val="autoZero"/>
        <c:crossBetween val="midCat"/>
        <c:majorUnit val="1"/>
      </c:valAx>
      <c:valAx>
        <c:axId val="96884224"/>
        <c:scaling>
          <c:orientation val="minMax"/>
          <c:max val="140"/>
          <c:min val="20"/>
        </c:scaling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cs-CZ"/>
                  <a:t>Teplota [°C]</a:t>
                </a:r>
              </a:p>
            </c:rich>
          </c:tx>
        </c:title>
        <c:numFmt formatCode="General" sourceLinked="1"/>
        <c:tickLblPos val="nextTo"/>
        <c:crossAx val="107113472"/>
        <c:crosses val="autoZero"/>
        <c:crossBetween val="midCat"/>
        <c:majorUnit val="10"/>
      </c:valAx>
    </c:plotArea>
    <c:legend>
      <c:legendPos val="r"/>
      <c:legendEntry>
        <c:idx val="2"/>
        <c:delete val="1"/>
      </c:legendEntry>
      <c:legendEntry>
        <c:idx val="3"/>
        <c:delete val="1"/>
      </c:legendEntry>
    </c:legend>
    <c:plotVisOnly val="1"/>
  </c:chart>
  <c:spPr>
    <a:ln>
      <a:noFill/>
    </a:ln>
  </c:spPr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cs-CZ"/>
  <c:chart>
    <c:title>
      <c:tx>
        <c:rich>
          <a:bodyPr/>
          <a:lstStyle/>
          <a:p>
            <a:pPr>
              <a:defRPr/>
            </a:pPr>
            <a:r>
              <a:rPr lang="cs-CZ"/>
              <a:t>Termočlánek typu E</a:t>
            </a:r>
          </a:p>
        </c:rich>
      </c:tx>
    </c:title>
    <c:plotArea>
      <c:layout/>
      <c:scatterChart>
        <c:scatterStyle val="smoothMarker"/>
        <c:ser>
          <c:idx val="0"/>
          <c:order val="0"/>
          <c:tx>
            <c:strRef>
              <c:f>List1!$A$4</c:f>
              <c:strCache>
                <c:ptCount val="1"/>
                <c:pt idx="0">
                  <c:v>E</c:v>
                </c:pt>
              </c:strCache>
            </c:strRef>
          </c:tx>
          <c:marker>
            <c:symbol val="circle"/>
            <c:size val="4"/>
          </c:marker>
          <c:xVal>
            <c:numRef>
              <c:f>List1!$C$1:$F$1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</c:numCache>
            </c:numRef>
          </c:xVal>
          <c:yVal>
            <c:numRef>
              <c:f>List1!$C$5:$F$5</c:f>
              <c:numCache>
                <c:formatCode>General</c:formatCode>
                <c:ptCount val="4"/>
                <c:pt idx="0">
                  <c:v>36</c:v>
                </c:pt>
                <c:pt idx="1">
                  <c:v>83</c:v>
                </c:pt>
                <c:pt idx="2">
                  <c:v>116</c:v>
                </c:pt>
                <c:pt idx="3">
                  <c:v>129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List1!$A$8</c:f>
              <c:strCache>
                <c:ptCount val="1"/>
                <c:pt idx="0">
                  <c:v>K - ref.</c:v>
                </c:pt>
              </c:strCache>
            </c:strRef>
          </c:tx>
          <c:marker>
            <c:symbol val="circle"/>
            <c:size val="4"/>
          </c:marker>
          <c:xVal>
            <c:numRef>
              <c:f>List1!$C$1:$F$1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</c:numCache>
            </c:numRef>
          </c:xVal>
          <c:yVal>
            <c:numRef>
              <c:f>List1!$C$9:$F$9</c:f>
              <c:numCache>
                <c:formatCode>General</c:formatCode>
                <c:ptCount val="4"/>
                <c:pt idx="0">
                  <c:v>35</c:v>
                </c:pt>
                <c:pt idx="1">
                  <c:v>79</c:v>
                </c:pt>
                <c:pt idx="2">
                  <c:v>108</c:v>
                </c:pt>
                <c:pt idx="3">
                  <c:v>120</c:v>
                </c:pt>
              </c:numCache>
            </c:numRef>
          </c:yVal>
          <c:smooth val="1"/>
        </c:ser>
        <c:ser>
          <c:idx val="2"/>
          <c:order val="2"/>
          <c:spPr>
            <a:ln w="15875">
              <a:solidFill>
                <a:schemeClr val="bg1">
                  <a:lumMod val="50000"/>
                </a:schemeClr>
              </a:solidFill>
              <a:prstDash val="dash"/>
            </a:ln>
          </c:spPr>
          <c:marker>
            <c:symbol val="none"/>
          </c:marker>
          <c:xVal>
            <c:numRef>
              <c:f>List1!$C$1:$F$1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</c:numCache>
            </c:numRef>
          </c:xVal>
          <c:yVal>
            <c:numRef>
              <c:f>List1!$I$11:$L$11</c:f>
              <c:numCache>
                <c:formatCode>General</c:formatCode>
                <c:ptCount val="4"/>
                <c:pt idx="0">
                  <c:v>35.700000000000003</c:v>
                </c:pt>
                <c:pt idx="1">
                  <c:v>80.58</c:v>
                </c:pt>
                <c:pt idx="2">
                  <c:v>110.16</c:v>
                </c:pt>
                <c:pt idx="3">
                  <c:v>122.4</c:v>
                </c:pt>
              </c:numCache>
            </c:numRef>
          </c:yVal>
          <c:smooth val="1"/>
        </c:ser>
        <c:ser>
          <c:idx val="3"/>
          <c:order val="3"/>
          <c:spPr>
            <a:ln w="15875">
              <a:solidFill>
                <a:schemeClr val="bg1">
                  <a:lumMod val="50000"/>
                </a:schemeClr>
              </a:solidFill>
              <a:prstDash val="dash"/>
            </a:ln>
          </c:spPr>
          <c:marker>
            <c:symbol val="none"/>
          </c:marker>
          <c:xVal>
            <c:numRef>
              <c:f>List1!$C$1:$F$1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</c:numCache>
            </c:numRef>
          </c:xVal>
          <c:yVal>
            <c:numRef>
              <c:f>List1!$I$12:$L$12</c:f>
              <c:numCache>
                <c:formatCode>General</c:formatCode>
                <c:ptCount val="4"/>
                <c:pt idx="0">
                  <c:v>34.300000000000011</c:v>
                </c:pt>
                <c:pt idx="1">
                  <c:v>77.42</c:v>
                </c:pt>
                <c:pt idx="2">
                  <c:v>105.84</c:v>
                </c:pt>
                <c:pt idx="3">
                  <c:v>117.6</c:v>
                </c:pt>
              </c:numCache>
            </c:numRef>
          </c:yVal>
          <c:smooth val="1"/>
        </c:ser>
        <c:axId val="97022720"/>
        <c:axId val="97024640"/>
      </c:scatterChart>
      <c:valAx>
        <c:axId val="97022720"/>
        <c:scaling>
          <c:orientation val="minMax"/>
          <c:max val="4"/>
          <c:min val="1"/>
        </c:scaling>
        <c:axPos val="b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cs-CZ"/>
                  <a:t>Číslo měření</a:t>
                </a:r>
              </a:p>
            </c:rich>
          </c:tx>
        </c:title>
        <c:numFmt formatCode="General" sourceLinked="1"/>
        <c:tickLblPos val="nextTo"/>
        <c:crossAx val="97024640"/>
        <c:crosses val="autoZero"/>
        <c:crossBetween val="midCat"/>
        <c:majorUnit val="1"/>
      </c:valAx>
      <c:valAx>
        <c:axId val="97024640"/>
        <c:scaling>
          <c:orientation val="minMax"/>
          <c:max val="140"/>
          <c:min val="20"/>
        </c:scaling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cs-CZ"/>
                  <a:t>Teplota [°C]</a:t>
                </a:r>
              </a:p>
            </c:rich>
          </c:tx>
        </c:title>
        <c:numFmt formatCode="General" sourceLinked="1"/>
        <c:tickLblPos val="nextTo"/>
        <c:crossAx val="97022720"/>
        <c:crosses val="autoZero"/>
        <c:crossBetween val="midCat"/>
        <c:majorUnit val="10"/>
      </c:valAx>
    </c:plotArea>
    <c:legend>
      <c:legendPos val="r"/>
      <c:legendEntry>
        <c:idx val="2"/>
        <c:delete val="1"/>
      </c:legendEntry>
      <c:legendEntry>
        <c:idx val="3"/>
        <c:delete val="1"/>
      </c:legendEntry>
    </c:legend>
    <c:plotVisOnly val="1"/>
  </c:chart>
  <c:spPr>
    <a:ln>
      <a:noFill/>
    </a:ln>
  </c:spPr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cs-CZ"/>
  <c:chart>
    <c:title>
      <c:tx>
        <c:rich>
          <a:bodyPr/>
          <a:lstStyle/>
          <a:p>
            <a:pPr>
              <a:defRPr/>
            </a:pPr>
            <a:r>
              <a:rPr lang="cs-CZ"/>
              <a:t>Termočlánek typu J</a:t>
            </a:r>
          </a:p>
        </c:rich>
      </c:tx>
    </c:title>
    <c:plotArea>
      <c:layout/>
      <c:scatterChart>
        <c:scatterStyle val="smoothMarker"/>
        <c:ser>
          <c:idx val="0"/>
          <c:order val="0"/>
          <c:tx>
            <c:strRef>
              <c:f>List1!$A$6</c:f>
              <c:strCache>
                <c:ptCount val="1"/>
                <c:pt idx="0">
                  <c:v>J</c:v>
                </c:pt>
              </c:strCache>
            </c:strRef>
          </c:tx>
          <c:marker>
            <c:symbol val="circle"/>
            <c:size val="4"/>
          </c:marker>
          <c:xVal>
            <c:numRef>
              <c:f>List1!$C$1:$F$1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</c:numCache>
            </c:numRef>
          </c:xVal>
          <c:yVal>
            <c:numRef>
              <c:f>List1!$C$7:$F$7</c:f>
              <c:numCache>
                <c:formatCode>General</c:formatCode>
                <c:ptCount val="4"/>
                <c:pt idx="0">
                  <c:v>33</c:v>
                </c:pt>
                <c:pt idx="1">
                  <c:v>80</c:v>
                </c:pt>
                <c:pt idx="2">
                  <c:v>113</c:v>
                </c:pt>
                <c:pt idx="3">
                  <c:v>128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List1!$A$8</c:f>
              <c:strCache>
                <c:ptCount val="1"/>
                <c:pt idx="0">
                  <c:v>K - ref.</c:v>
                </c:pt>
              </c:strCache>
            </c:strRef>
          </c:tx>
          <c:marker>
            <c:symbol val="circle"/>
            <c:size val="4"/>
          </c:marker>
          <c:xVal>
            <c:numRef>
              <c:f>List1!$C$1:$F$1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</c:numCache>
            </c:numRef>
          </c:xVal>
          <c:yVal>
            <c:numRef>
              <c:f>List1!$C$9:$F$9</c:f>
              <c:numCache>
                <c:formatCode>General</c:formatCode>
                <c:ptCount val="4"/>
                <c:pt idx="0">
                  <c:v>35</c:v>
                </c:pt>
                <c:pt idx="1">
                  <c:v>79</c:v>
                </c:pt>
                <c:pt idx="2">
                  <c:v>108</c:v>
                </c:pt>
                <c:pt idx="3">
                  <c:v>120</c:v>
                </c:pt>
              </c:numCache>
            </c:numRef>
          </c:yVal>
          <c:smooth val="1"/>
        </c:ser>
        <c:ser>
          <c:idx val="2"/>
          <c:order val="2"/>
          <c:spPr>
            <a:ln w="15875">
              <a:solidFill>
                <a:schemeClr val="bg1">
                  <a:lumMod val="50000"/>
                </a:schemeClr>
              </a:solidFill>
              <a:prstDash val="dash"/>
            </a:ln>
          </c:spPr>
          <c:marker>
            <c:symbol val="none"/>
          </c:marker>
          <c:xVal>
            <c:numRef>
              <c:f>List1!$C$1:$F$1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</c:numCache>
            </c:numRef>
          </c:xVal>
          <c:yVal>
            <c:numRef>
              <c:f>List1!$I$11:$L$11</c:f>
              <c:numCache>
                <c:formatCode>General</c:formatCode>
                <c:ptCount val="4"/>
                <c:pt idx="0">
                  <c:v>35.700000000000003</c:v>
                </c:pt>
                <c:pt idx="1">
                  <c:v>80.58</c:v>
                </c:pt>
                <c:pt idx="2">
                  <c:v>110.16</c:v>
                </c:pt>
                <c:pt idx="3">
                  <c:v>122.4</c:v>
                </c:pt>
              </c:numCache>
            </c:numRef>
          </c:yVal>
          <c:smooth val="1"/>
        </c:ser>
        <c:ser>
          <c:idx val="3"/>
          <c:order val="3"/>
          <c:spPr>
            <a:ln w="15875">
              <a:solidFill>
                <a:schemeClr val="bg1">
                  <a:lumMod val="50000"/>
                </a:schemeClr>
              </a:solidFill>
              <a:prstDash val="dash"/>
            </a:ln>
          </c:spPr>
          <c:marker>
            <c:symbol val="none"/>
          </c:marker>
          <c:xVal>
            <c:numRef>
              <c:f>List1!$C$1:$F$1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</c:numCache>
            </c:numRef>
          </c:xVal>
          <c:yVal>
            <c:numRef>
              <c:f>List1!$I$12:$L$12</c:f>
              <c:numCache>
                <c:formatCode>General</c:formatCode>
                <c:ptCount val="4"/>
                <c:pt idx="0">
                  <c:v>34.300000000000011</c:v>
                </c:pt>
                <c:pt idx="1">
                  <c:v>77.42</c:v>
                </c:pt>
                <c:pt idx="2">
                  <c:v>105.84</c:v>
                </c:pt>
                <c:pt idx="3">
                  <c:v>117.6</c:v>
                </c:pt>
              </c:numCache>
            </c:numRef>
          </c:yVal>
          <c:smooth val="1"/>
        </c:ser>
        <c:axId val="100001664"/>
        <c:axId val="100102144"/>
      </c:scatterChart>
      <c:valAx>
        <c:axId val="100001664"/>
        <c:scaling>
          <c:orientation val="minMax"/>
          <c:max val="4"/>
          <c:min val="1"/>
        </c:scaling>
        <c:axPos val="b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cs-CZ"/>
                  <a:t>Číslo měření</a:t>
                </a:r>
              </a:p>
            </c:rich>
          </c:tx>
        </c:title>
        <c:numFmt formatCode="General" sourceLinked="1"/>
        <c:tickLblPos val="nextTo"/>
        <c:crossAx val="100102144"/>
        <c:crosses val="autoZero"/>
        <c:crossBetween val="midCat"/>
        <c:majorUnit val="1"/>
      </c:valAx>
      <c:valAx>
        <c:axId val="100102144"/>
        <c:scaling>
          <c:orientation val="minMax"/>
          <c:max val="140"/>
          <c:min val="20"/>
        </c:scaling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cs-CZ"/>
                  <a:t>Teplota [°C]</a:t>
                </a:r>
              </a:p>
            </c:rich>
          </c:tx>
        </c:title>
        <c:numFmt formatCode="General" sourceLinked="1"/>
        <c:tickLblPos val="nextTo"/>
        <c:crossAx val="100001664"/>
        <c:crosses val="autoZero"/>
        <c:crossBetween val="midCat"/>
        <c:majorUnit val="10"/>
      </c:valAx>
    </c:plotArea>
    <c:legend>
      <c:legendPos val="r"/>
      <c:legendEntry>
        <c:idx val="2"/>
        <c:delete val="1"/>
      </c:legendEntry>
      <c:legendEntry>
        <c:idx val="3"/>
        <c:delete val="1"/>
      </c:legendEntry>
    </c:legend>
    <c:plotVisOnly val="1"/>
  </c:chart>
  <c:spPr>
    <a:ln>
      <a:noFill/>
    </a:ln>
  </c:spPr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cs-CZ"/>
  <c:chart>
    <c:title>
      <c:tx>
        <c:rich>
          <a:bodyPr/>
          <a:lstStyle/>
          <a:p>
            <a:pPr>
              <a:defRPr/>
            </a:pPr>
            <a:r>
              <a:rPr lang="cs-CZ"/>
              <a:t>Celkový</a:t>
            </a:r>
            <a:r>
              <a:rPr lang="cs-CZ" baseline="0"/>
              <a:t> přehled</a:t>
            </a:r>
            <a:endParaRPr lang="cs-CZ"/>
          </a:p>
        </c:rich>
      </c:tx>
    </c:title>
    <c:plotArea>
      <c:layout/>
      <c:scatterChart>
        <c:scatterStyle val="smoothMarker"/>
        <c:ser>
          <c:idx val="0"/>
          <c:order val="0"/>
          <c:tx>
            <c:strRef>
              <c:f>List1!$A$2</c:f>
              <c:strCache>
                <c:ptCount val="1"/>
                <c:pt idx="0">
                  <c:v>T</c:v>
                </c:pt>
              </c:strCache>
            </c:strRef>
          </c:tx>
          <c:marker>
            <c:symbol val="circle"/>
            <c:size val="4"/>
          </c:marker>
          <c:xVal>
            <c:numRef>
              <c:f>List1!$C$1:$F$1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</c:numCache>
            </c:numRef>
          </c:xVal>
          <c:yVal>
            <c:numRef>
              <c:f>List1!$C$3:$F$3</c:f>
              <c:numCache>
                <c:formatCode>General</c:formatCode>
                <c:ptCount val="4"/>
                <c:pt idx="0">
                  <c:v>28</c:v>
                </c:pt>
                <c:pt idx="1">
                  <c:v>65</c:v>
                </c:pt>
                <c:pt idx="2">
                  <c:v>92</c:v>
                </c:pt>
                <c:pt idx="3">
                  <c:v>105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List1!$A$4</c:f>
              <c:strCache>
                <c:ptCount val="1"/>
                <c:pt idx="0">
                  <c:v>E</c:v>
                </c:pt>
              </c:strCache>
            </c:strRef>
          </c:tx>
          <c:spPr>
            <a:ln>
              <a:solidFill>
                <a:schemeClr val="accent4"/>
              </a:solidFill>
            </a:ln>
          </c:spPr>
          <c:marker>
            <c:symbol val="circle"/>
            <c:size val="4"/>
            <c:spPr>
              <a:solidFill>
                <a:schemeClr val="accent4"/>
              </a:solidFill>
              <a:ln>
                <a:noFill/>
              </a:ln>
            </c:spPr>
          </c:marker>
          <c:xVal>
            <c:numRef>
              <c:f>List1!$C$1:$F$1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</c:numCache>
            </c:numRef>
          </c:xVal>
          <c:yVal>
            <c:numRef>
              <c:f>List1!$C$5:$F$5</c:f>
              <c:numCache>
                <c:formatCode>General</c:formatCode>
                <c:ptCount val="4"/>
                <c:pt idx="0">
                  <c:v>36</c:v>
                </c:pt>
                <c:pt idx="1">
                  <c:v>83</c:v>
                </c:pt>
                <c:pt idx="2">
                  <c:v>116</c:v>
                </c:pt>
                <c:pt idx="3">
                  <c:v>129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List1!$A$6</c:f>
              <c:strCache>
                <c:ptCount val="1"/>
                <c:pt idx="0">
                  <c:v>J</c:v>
                </c:pt>
              </c:strCache>
            </c:strRef>
          </c:tx>
          <c:marker>
            <c:symbol val="circle"/>
            <c:size val="4"/>
          </c:marker>
          <c:xVal>
            <c:numRef>
              <c:f>List1!$C$1:$F$1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</c:numCache>
            </c:numRef>
          </c:xVal>
          <c:yVal>
            <c:numRef>
              <c:f>List1!$C$7:$F$7</c:f>
              <c:numCache>
                <c:formatCode>General</c:formatCode>
                <c:ptCount val="4"/>
                <c:pt idx="0">
                  <c:v>33</c:v>
                </c:pt>
                <c:pt idx="1">
                  <c:v>80</c:v>
                </c:pt>
                <c:pt idx="2">
                  <c:v>113</c:v>
                </c:pt>
                <c:pt idx="3">
                  <c:v>128</c:v>
                </c:pt>
              </c:numCache>
            </c:numRef>
          </c:yVal>
          <c:smooth val="1"/>
        </c:ser>
        <c:ser>
          <c:idx val="3"/>
          <c:order val="3"/>
          <c:tx>
            <c:strRef>
              <c:f>List1!$A$8</c:f>
              <c:strCache>
                <c:ptCount val="1"/>
                <c:pt idx="0">
                  <c:v>K - ref.</c:v>
                </c:pt>
              </c:strCache>
            </c:strRef>
          </c:tx>
          <c:spPr>
            <a:ln>
              <a:solidFill>
                <a:schemeClr val="accent2"/>
              </a:solidFill>
            </a:ln>
          </c:spPr>
          <c:marker>
            <c:symbol val="circle"/>
            <c:size val="4"/>
            <c:spPr>
              <a:solidFill>
                <a:schemeClr val="accent2"/>
              </a:solidFill>
              <a:ln>
                <a:noFill/>
              </a:ln>
            </c:spPr>
          </c:marker>
          <c:xVal>
            <c:numRef>
              <c:f>List1!$C$1:$F$1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</c:numCache>
            </c:numRef>
          </c:xVal>
          <c:yVal>
            <c:numRef>
              <c:f>List1!$C$9:$F$9</c:f>
              <c:numCache>
                <c:formatCode>General</c:formatCode>
                <c:ptCount val="4"/>
                <c:pt idx="0">
                  <c:v>35</c:v>
                </c:pt>
                <c:pt idx="1">
                  <c:v>79</c:v>
                </c:pt>
                <c:pt idx="2">
                  <c:v>108</c:v>
                </c:pt>
                <c:pt idx="3">
                  <c:v>120</c:v>
                </c:pt>
              </c:numCache>
            </c:numRef>
          </c:yVal>
          <c:smooth val="1"/>
        </c:ser>
        <c:ser>
          <c:idx val="4"/>
          <c:order val="4"/>
          <c:spPr>
            <a:ln w="15875">
              <a:solidFill>
                <a:schemeClr val="bg1">
                  <a:lumMod val="50000"/>
                </a:schemeClr>
              </a:solidFill>
              <a:prstDash val="dash"/>
            </a:ln>
          </c:spPr>
          <c:marker>
            <c:symbol val="none"/>
          </c:marker>
          <c:xVal>
            <c:numRef>
              <c:f>List1!$C$1:$F$1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</c:numCache>
            </c:numRef>
          </c:xVal>
          <c:yVal>
            <c:numRef>
              <c:f>List1!$I$11:$L$11</c:f>
              <c:numCache>
                <c:formatCode>General</c:formatCode>
                <c:ptCount val="4"/>
                <c:pt idx="0">
                  <c:v>35.700000000000003</c:v>
                </c:pt>
                <c:pt idx="1">
                  <c:v>80.58</c:v>
                </c:pt>
                <c:pt idx="2">
                  <c:v>110.16</c:v>
                </c:pt>
                <c:pt idx="3">
                  <c:v>122.4</c:v>
                </c:pt>
              </c:numCache>
            </c:numRef>
          </c:yVal>
          <c:smooth val="1"/>
        </c:ser>
        <c:ser>
          <c:idx val="5"/>
          <c:order val="5"/>
          <c:spPr>
            <a:ln w="15875">
              <a:solidFill>
                <a:schemeClr val="bg1">
                  <a:lumMod val="50000"/>
                </a:schemeClr>
              </a:solidFill>
              <a:prstDash val="dash"/>
            </a:ln>
          </c:spPr>
          <c:marker>
            <c:symbol val="none"/>
          </c:marker>
          <c:xVal>
            <c:numRef>
              <c:f>List1!$C$1:$F$1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</c:numCache>
            </c:numRef>
          </c:xVal>
          <c:yVal>
            <c:numRef>
              <c:f>List1!$I$12:$L$12</c:f>
              <c:numCache>
                <c:formatCode>General</c:formatCode>
                <c:ptCount val="4"/>
                <c:pt idx="0">
                  <c:v>34.300000000000011</c:v>
                </c:pt>
                <c:pt idx="1">
                  <c:v>77.42</c:v>
                </c:pt>
                <c:pt idx="2">
                  <c:v>105.84</c:v>
                </c:pt>
                <c:pt idx="3">
                  <c:v>117.6</c:v>
                </c:pt>
              </c:numCache>
            </c:numRef>
          </c:yVal>
          <c:smooth val="1"/>
        </c:ser>
        <c:axId val="101447552"/>
        <c:axId val="101588992"/>
      </c:scatterChart>
      <c:valAx>
        <c:axId val="101447552"/>
        <c:scaling>
          <c:orientation val="minMax"/>
          <c:max val="4"/>
          <c:min val="1"/>
        </c:scaling>
        <c:axPos val="b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cs-CZ"/>
                  <a:t>Číslo</a:t>
                </a:r>
                <a:r>
                  <a:rPr lang="cs-CZ" baseline="0"/>
                  <a:t> měření</a:t>
                </a:r>
                <a:endParaRPr lang="cs-CZ"/>
              </a:p>
            </c:rich>
          </c:tx>
        </c:title>
        <c:numFmt formatCode="General" sourceLinked="1"/>
        <c:tickLblPos val="nextTo"/>
        <c:crossAx val="101588992"/>
        <c:crosses val="autoZero"/>
        <c:crossBetween val="midCat"/>
        <c:majorUnit val="1"/>
      </c:valAx>
      <c:valAx>
        <c:axId val="101588992"/>
        <c:scaling>
          <c:orientation val="minMax"/>
          <c:max val="140"/>
          <c:min val="20"/>
        </c:scaling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cs-CZ"/>
                  <a:t>Teplota [°C]</a:t>
                </a:r>
              </a:p>
            </c:rich>
          </c:tx>
        </c:title>
        <c:numFmt formatCode="General" sourceLinked="1"/>
        <c:tickLblPos val="nextTo"/>
        <c:crossAx val="101447552"/>
        <c:crosses val="autoZero"/>
        <c:crossBetween val="midCat"/>
        <c:majorUnit val="10"/>
      </c:valAx>
    </c:plotArea>
    <c:legend>
      <c:legendPos val="r"/>
      <c:legendEntry>
        <c:idx val="4"/>
        <c:delete val="1"/>
      </c:legendEntry>
      <c:legendEntry>
        <c:idx val="5"/>
        <c:delete val="1"/>
      </c:legendEntry>
      <c:txPr>
        <a:bodyPr/>
        <a:lstStyle/>
        <a:p>
          <a:pPr>
            <a:defRPr sz="1000"/>
          </a:pPr>
          <a:endParaRPr lang="cs-CZ"/>
        </a:p>
      </c:txPr>
    </c:legend>
    <c:plotVisOnly val="1"/>
  </c:chart>
  <c:spPr>
    <a:ln>
      <a:noFill/>
    </a:ln>
  </c:spPr>
  <c:externalData r:id="rId1"/>
</c:chartSpace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8</Pages>
  <Words>877</Words>
  <Characters>5177</Characters>
  <Application>Microsoft Office Word</Application>
  <DocSecurity>0</DocSecurity>
  <Lines>43</Lines>
  <Paragraphs>12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Západočeská univerzita v Plzni</vt:lpstr>
    </vt:vector>
  </TitlesOfParts>
  <Company/>
  <LinksUpToDate>false</LinksUpToDate>
  <CharactersWithSpaces>6042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Západočeská univerzita v Plzni</dc:title>
  <dc:creator>Kasi</dc:creator>
  <cp:lastModifiedBy>Kasi</cp:lastModifiedBy>
  <cp:revision>35</cp:revision>
  <cp:lastPrinted>2016-10-13T20:35:00Z</cp:lastPrinted>
  <dcterms:created xsi:type="dcterms:W3CDTF">2016-10-09T11:27:00Z</dcterms:created>
  <dcterms:modified xsi:type="dcterms:W3CDTF">2016-10-13T20:43:00Z</dcterms:modified>
</cp:coreProperties>
</file>