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300"/>
        <w:jc w:val="center"/>
      </w:pPr>
      <w:r>
        <w:rPr>
          <w:b/>
          <w:bCs/>
          <w:color w:val="00A804"/>
          <w:sz w:val="72"/>
          <w:szCs w:val="72"/>
        </w:rPr>
        <w:t xml:space="preserve">[ ◎ ]</w:t>
      </w:r>
    </w:p>
    <w:p>
      <w:pPr>
        <w:spacing w:after="120"/>
        <w:jc w:val="center"/>
      </w:pPr>
      <w:r>
        <w:rPr>
          <w:b/>
          <w:bCs/>
          <w:color w:val="111418"/>
          <w:sz w:val="64"/>
          <w:szCs w:val="64"/>
        </w:rPr>
        <w:t xml:space="preserve">THE QUIVR PAPER</w:t>
      </w:r>
    </w:p>
    <w:p>
      <w:pPr>
        <w:spacing w:after="80"/>
        <w:jc w:val="center"/>
      </w:pPr>
      <w:r>
        <w:rPr>
          <w:color w:val="7C8683"/>
          <w:sz w:val="26"/>
          <w:szCs w:val="26"/>
        </w:rPr>
        <w:t xml:space="preserve">HoodSnipr · trending-token sniping on Robinhood Chain</w:t>
      </w:r>
    </w:p>
    <w:p>
      <w:pPr>
        <w:spacing w:after="400"/>
        <w:jc w:val="center"/>
      </w:pPr>
      <w:r>
        <w:rPr>
          <w:b/>
          <w:bCs/>
          <w:color w:val="00A804"/>
          <w:sz w:val="22"/>
          <w:szCs w:val="22"/>
        </w:rPr>
        <w:t xml:space="preserve">v0.1 · August 2026 · hoodsnipr</w:t>
      </w:r>
    </w:p>
    <w:p>
      <w:pPr>
        <w:jc w:val="center"/>
      </w:pPr>
      <w:r>
        <w:rPr>
          <w:i/>
          <w:iCs/>
          <w:color w:val="7C8683"/>
          <w:sz w:val="24"/>
          <w:szCs w:val="24"/>
        </w:rPr>
        <w:t xml:space="preserve">"Every trending token. One arrow away."</w:t>
      </w:r>
    </w:p>
    <w:p>
      <w:r>
        <w:br w:type="page"/>
      </w:r>
    </w:p>
    <w:p>
      <w:pPr>
        <w:pStyle w:val="Heading1"/>
      </w:pPr>
      <w:r>
        <w:t xml:space="preserve">1. Prologue: The Archer Comes to the Hood</w:t>
      </w:r>
    </w:p>
    <w:p>
      <w:pPr>
        <w:spacing w:after="160" w:before="0"/>
      </w:pPr>
      <w:r>
        <w:rPr>
          <w:color w:val="111418"/>
          <w:sz w:val="22"/>
          <w:szCs w:val="22"/>
        </w:rPr>
        <w:t xml:space="preserve">On July 1, 2026, Robinhood switched on its own Layer 2 — a permissionless Arbitrum Orbit chain settling to Ethereum, purpose-built for tokenized real-world assets, 100ms blocks, and onchain financial services. Within its first week the chain processed roughly four million transactions. Behind that chain sit more than twenty million funded brokerage accounts, one bridge away.</w:t>
      </w:r>
    </w:p>
    <w:p>
      <w:pPr>
        <w:spacing w:after="160" w:before="0"/>
      </w:pPr>
      <w:r>
        <w:rPr>
          <w:color w:val="111418"/>
          <w:sz w:val="22"/>
          <w:szCs w:val="22"/>
        </w:rPr>
        <w:t xml:space="preserve">Where retail arrives, memecoins follow. New tokens are already launching on Robinhood Chain daily, and the earliest movers — like $POUCH — proved the appetite. But the tooling hasn't caught up. There is no purpose-built place to see what is trending on this chain right now and act on it in one motion.</w:t>
      </w:r>
    </w:p>
    <w:p>
      <w:pPr>
        <w:spacing w:after="160" w:before="0"/>
      </w:pPr>
      <w:r>
        <w:rPr>
          <w:color w:val="111418"/>
          <w:sz w:val="22"/>
          <w:szCs w:val="22"/>
        </w:rPr>
        <w:t xml:space="preserve">HoodSnipr is that place. Built by an operator who has shipped sniping infrastructure on another chain, it brings that discipline to new ground: a trending engine, a one-tap snipe, a transparent fee, and a token — $QUIVR — that makes every shot cheaper the more you carry.</w:t>
      </w:r>
    </w:p>
    <w:p>
      <w:pPr>
        <w:pBdr>
          <w:bottom w:val="single" w:color="DDDDDD" w:sz="6"/>
        </w:pBdr>
        <w:spacing w:after="240" w:before="120"/>
      </w:pPr>
    </w:p>
    <w:p>
      <w:pPr>
        <w:pStyle w:val="Heading1"/>
      </w:pPr>
      <w:r>
        <w:t xml:space="preserve">2. The Problem</w:t>
      </w:r>
    </w:p>
    <w:p>
      <w:pPr>
        <w:spacing w:after="160" w:before="0"/>
      </w:pPr>
      <w:r>
        <w:rPr>
          <w:color w:val="111418"/>
          <w:sz w:val="22"/>
          <w:szCs w:val="22"/>
        </w:rPr>
        <w:t xml:space="preserve">A brand-new chain has a discovery gap. Aggregators index it late, dashboards treat it as a footnote, and the tools that do exist are generic EVM frontends with no ranking logic. The result:</w:t>
      </w:r>
    </w:p>
    <w:p>
      <w:pPr>
        <w:pStyle w:val="ListParagraph"/>
        <w:numPr>
          <w:ilvl w:val="0"/>
          <w:numId w:val="2"/>
        </w:numPr>
        <w:spacing w:after="100"/>
      </w:pPr>
      <w:r>
        <w:rPr>
          <w:b/>
          <w:bCs/>
          <w:color w:val="111418"/>
          <w:sz w:val="22"/>
          <w:szCs w:val="22"/>
        </w:rPr>
        <w:t xml:space="preserve">Slow discovery — </w:t>
      </w:r>
      <w:r>
        <w:rPr>
          <w:color w:val="111418"/>
          <w:sz w:val="22"/>
          <w:szCs w:val="22"/>
        </w:rPr>
        <w:t xml:space="preserve">Traders find trending Robinhood Chain tokens on X screenshots, hours after the move.</w:t>
      </w:r>
    </w:p>
    <w:p>
      <w:pPr>
        <w:pStyle w:val="ListParagraph"/>
        <w:numPr>
          <w:ilvl w:val="0"/>
          <w:numId w:val="2"/>
        </w:numPr>
        <w:spacing w:after="100"/>
      </w:pPr>
      <w:r>
        <w:rPr>
          <w:b/>
          <w:bCs/>
          <w:color w:val="111418"/>
          <w:sz w:val="22"/>
          <w:szCs w:val="22"/>
        </w:rPr>
        <w:t xml:space="preserve">One-dimensional ranking — </w:t>
      </w:r>
      <w:r>
        <w:rPr>
          <w:color w:val="111418"/>
          <w:sz w:val="22"/>
          <w:szCs w:val="22"/>
        </w:rPr>
        <w:t xml:space="preserve">Volume on a 5-minute window and volume on a 30-day window tell completely different stories, and no interface lets you flip between them.</w:t>
      </w:r>
    </w:p>
    <w:p>
      <w:pPr>
        <w:pStyle w:val="ListParagraph"/>
        <w:numPr>
          <w:ilvl w:val="0"/>
          <w:numId w:val="2"/>
        </w:numPr>
        <w:spacing w:after="100"/>
      </w:pPr>
      <w:r>
        <w:rPr>
          <w:b/>
          <w:bCs/>
          <w:color w:val="111418"/>
          <w:sz w:val="22"/>
          <w:szCs w:val="22"/>
        </w:rPr>
        <w:t xml:space="preserve">Friction — </w:t>
      </w:r>
      <w:r>
        <w:rPr>
          <w:color w:val="111418"/>
          <w:sz w:val="22"/>
          <w:szCs w:val="22"/>
        </w:rPr>
        <w:t xml:space="preserve">Connecting a wallet, bridging, finding the pool, setting the swap — five apps to take one position.</w:t>
      </w:r>
    </w:p>
    <w:p>
      <w:pPr>
        <w:pStyle w:val="ListParagraph"/>
        <w:numPr>
          <w:ilvl w:val="0"/>
          <w:numId w:val="2"/>
        </w:numPr>
        <w:spacing w:after="100"/>
      </w:pPr>
      <w:r>
        <w:rPr>
          <w:b/>
          <w:bCs/>
          <w:color w:val="111418"/>
          <w:sz w:val="22"/>
          <w:szCs w:val="22"/>
        </w:rPr>
        <w:t xml:space="preserve">Safety — </w:t>
      </w:r>
      <w:r>
        <w:rPr>
          <w:color w:val="111418"/>
          <w:sz w:val="22"/>
          <w:szCs w:val="22"/>
        </w:rPr>
        <w:t xml:space="preserve">New-chain memecoins carry honeypot, rug, and liquidity risk with no warning layer.</w:t>
      </w:r>
    </w:p>
    <w:p>
      <w:pPr>
        <w:pBdr>
          <w:bottom w:val="single" w:color="DDDDDD" w:sz="6"/>
        </w:pBdr>
        <w:spacing w:after="240" w:before="120"/>
      </w:pPr>
    </w:p>
    <w:p>
      <w:pPr>
        <w:pStyle w:val="Heading1"/>
      </w:pPr>
      <w:r>
        <w:t xml:space="preserve">3. The Product</w:t>
      </w:r>
    </w:p>
    <w:p>
      <w:pPr>
        <w:pStyle w:val="Heading2"/>
      </w:pPr>
      <w:r>
        <w:t xml:space="preserve">3.1 The Trending Engine</w:t>
      </w:r>
    </w:p>
    <w:p>
      <w:pPr>
        <w:spacing w:after="160" w:before="0"/>
      </w:pPr>
      <w:r>
        <w:rPr>
          <w:color w:val="111418"/>
          <w:sz w:val="22"/>
          <w:szCs w:val="22"/>
        </w:rPr>
        <w:t xml:space="preserve">HoodSnipr ranks Robinhood Chain tokens by real traded volume across four windows: 5 minutes, 1 hour, 24 hours, and 30 days. The window is a first-class control — flip it and the whole board re-ranks. Pool data is sourced from onchain indexers (GeckoTerminal-class APIs plus direct Robinhood Chain RPC reads), refreshed continuously.</w:t>
      </w:r>
    </w:p>
    <w:p>
      <w:pPr>
        <w:spacing w:after="160" w:before="0"/>
      </w:pPr>
      <w:r>
        <w:rPr>
          <w:color w:val="111418"/>
          <w:sz w:val="22"/>
          <w:szCs w:val="22"/>
        </w:rPr>
        <w:t xml:space="preserve">Each listing shows price, window-relative change, window volume, and a sparkline. Rank one through three wear gold. The board is the product; everything else exists to shorten the distance between seeing a mover and holding it.</w:t>
      </w:r>
    </w:p>
    <w:p>
      <w:pPr>
        <w:pStyle w:val="Heading2"/>
      </w:pPr>
      <w:r>
        <w:t xml:space="preserve">3.2 Two Ways In</w:t>
      </w:r>
    </w:p>
    <w:p>
      <w:pPr>
        <w:pStyle w:val="ListParagraph"/>
        <w:numPr>
          <w:ilvl w:val="0"/>
          <w:numId w:val="2"/>
        </w:numPr>
        <w:spacing w:after="100"/>
      </w:pPr>
      <w:r>
        <w:rPr>
          <w:b/>
          <w:bCs/>
          <w:color w:val="111418"/>
          <w:sz w:val="22"/>
          <w:szCs w:val="22"/>
        </w:rPr>
        <w:t xml:space="preserve">Wallet mode — </w:t>
      </w:r>
      <w:r>
        <w:rPr>
          <w:color w:val="111418"/>
          <w:sz w:val="22"/>
          <w:szCs w:val="22"/>
        </w:rPr>
        <w:t xml:space="preserve">Connect any EVM wallet (MetaMask, Rabby, Coinbase Wallet, WalletConnect). Robinhood Chain is standard EVM — chain add and switch happen in one prompt. The snipe is a single signed transaction.</w:t>
      </w:r>
    </w:p>
    <w:p>
      <w:pPr>
        <w:pStyle w:val="ListParagraph"/>
        <w:numPr>
          <w:ilvl w:val="0"/>
          <w:numId w:val="2"/>
        </w:numPr>
        <w:spacing w:after="100"/>
      </w:pPr>
      <w:r>
        <w:rPr>
          <w:b/>
          <w:bCs/>
          <w:color w:val="111418"/>
          <w:sz w:val="22"/>
          <w:szCs w:val="22"/>
        </w:rPr>
        <w:t xml:space="preserve">Send-ETH mode — </w:t>
      </w:r>
      <w:r>
        <w:rPr>
          <w:color w:val="111418"/>
          <w:sz w:val="22"/>
          <w:szCs w:val="22"/>
        </w:rPr>
        <w:t xml:space="preserve">No wallet connection required. The platform issues a unique deposit address per snipe intent; the user sends ETH on Robinhood Chain to it, and sniped tokens are delivered back to the sending address. Powered by a lightweight factory contract, not a custodial backend.</w:t>
      </w:r>
    </w:p>
    <w:p>
      <w:pPr>
        <w:pStyle w:val="Heading2"/>
      </w:pPr>
      <w:r>
        <w:t xml:space="preserve">3.3 The Snipe</w:t>
      </w:r>
    </w:p>
    <w:p>
      <w:pPr>
        <w:spacing w:after="160" w:before="0"/>
      </w:pPr>
      <w:r>
        <w:rPr>
          <w:color w:val="111418"/>
          <w:sz w:val="22"/>
          <w:szCs w:val="22"/>
        </w:rPr>
        <w:t xml:space="preserve">A snipe is a swap with intent. The flow: pick a token from the board, set an ETH amount, review the fee breakdown, fire. The transaction bundles the 0.25% platform fee and the swap into one atomic action — the fee is deducted pre-swap.</w:t>
      </w:r>
    </w:p>
    <w:p>
      <w:pPr>
        <w:pBdr>
          <w:bottom w:val="single" w:color="DDDDDD" w:sz="6"/>
        </w:pBdr>
        <w:spacing w:after="240" w:before="120"/>
      </w:pPr>
    </w:p>
    <w:p>
      <w:pPr>
        <w:pStyle w:val="Heading1"/>
      </w:pPr>
      <w:r>
        <w:t xml:space="preserve">4. The Fee: 25 Basis Points, Frozen</w:t>
      </w:r>
    </w:p>
    <w:p>
      <w:pPr>
        <w:spacing w:after="160" w:before="0"/>
      </w:pPr>
      <w:r>
        <w:rPr>
          <w:color w:val="111418"/>
          <w:sz w:val="22"/>
          <w:szCs w:val="22"/>
        </w:rPr>
        <w:t xml:space="preserve">HoodSnipr charges 0.25% of every snipe — a quarter of what leading Telegram trading bots charge (typically 1%). The fee wallet address is hardcoded and frozen in the client build (Object.freeze in the app bundle, immutable constant in the contract). No admin key can redirect it. Fees are non-refundable on transaction failure, and this is disclosed at the point of signing.</w:t>
      </w:r>
    </w:p>
    <w:p>
      <w:pPr>
        <w:spacing w:after="160" w:before="0"/>
      </w:pPr>
      <w:r>
        <w:rPr>
          <w:color w:val="111418"/>
          <w:sz w:val="22"/>
          <w:szCs w:val="22"/>
        </w:rPr>
        <w:t xml:space="preserve">Fee discounts are the core utility of $QUIVR:</w:t>
      </w:r>
    </w:p>
    <w:p>
      <w:pPr>
        <w:pStyle w:val="ListParagraph"/>
        <w:numPr>
          <w:ilvl w:val="0"/>
          <w:numId w:val="2"/>
        </w:numPr>
        <w:spacing w:after="100"/>
      </w:pPr>
      <w:r>
        <w:rPr>
          <w:b/>
          <w:bCs/>
          <w:color w:val="111418"/>
          <w:sz w:val="22"/>
          <w:szCs w:val="22"/>
        </w:rPr>
        <w:t xml:space="preserve">Free Range — </w:t>
      </w:r>
      <w:r>
        <w:rPr>
          <w:color w:val="111418"/>
          <w:sz w:val="22"/>
          <w:szCs w:val="22"/>
        </w:rPr>
        <w:t xml:space="preserve">0.25% — base rate, no holdings required.</w:t>
      </w:r>
    </w:p>
    <w:p>
      <w:pPr>
        <w:pStyle w:val="ListParagraph"/>
        <w:numPr>
          <w:ilvl w:val="0"/>
          <w:numId w:val="2"/>
        </w:numPr>
        <w:spacing w:after="100"/>
      </w:pPr>
      <w:r>
        <w:rPr>
          <w:b/>
          <w:bCs/>
          <w:color w:val="111418"/>
          <w:sz w:val="22"/>
          <w:szCs w:val="22"/>
        </w:rPr>
        <w:t xml:space="preserve">Archer — </w:t>
      </w:r>
      <w:r>
        <w:rPr>
          <w:color w:val="111418"/>
          <w:sz w:val="22"/>
          <w:szCs w:val="22"/>
        </w:rPr>
        <w:t xml:space="preserve">0.20% — hold 100K $QUIVR.</w:t>
      </w:r>
    </w:p>
    <w:p>
      <w:pPr>
        <w:pStyle w:val="ListParagraph"/>
        <w:numPr>
          <w:ilvl w:val="0"/>
          <w:numId w:val="2"/>
        </w:numPr>
        <w:spacing w:after="100"/>
      </w:pPr>
      <w:r>
        <w:rPr>
          <w:b/>
          <w:bCs/>
          <w:color w:val="111418"/>
          <w:sz w:val="22"/>
          <w:szCs w:val="22"/>
        </w:rPr>
        <w:t xml:space="preserve">Marksman — </w:t>
      </w:r>
      <w:r>
        <w:rPr>
          <w:color w:val="111418"/>
          <w:sz w:val="22"/>
          <w:szCs w:val="22"/>
        </w:rPr>
        <w:t xml:space="preserve">0.15% — hold 1M $QUIVR.</w:t>
      </w:r>
    </w:p>
    <w:p>
      <w:pPr>
        <w:pStyle w:val="ListParagraph"/>
        <w:numPr>
          <w:ilvl w:val="0"/>
          <w:numId w:val="2"/>
        </w:numPr>
        <w:spacing w:after="100"/>
      </w:pPr>
      <w:r>
        <w:rPr>
          <w:b/>
          <w:bCs/>
          <w:color w:val="111418"/>
          <w:sz w:val="22"/>
          <w:szCs w:val="22"/>
        </w:rPr>
        <w:t xml:space="preserve">Deadeye — </w:t>
      </w:r>
      <w:r>
        <w:rPr>
          <w:color w:val="111418"/>
          <w:sz w:val="22"/>
          <w:szCs w:val="22"/>
        </w:rPr>
        <w:t xml:space="preserve">0.10% — hold 10M $QUIVR. Best available rate.</w:t>
      </w:r>
    </w:p>
    <w:p>
      <w:pPr>
        <w:spacing w:after="160" w:before="0"/>
      </w:pPr>
      <w:r>
        <w:rPr>
          <w:color w:val="111418"/>
          <w:sz w:val="22"/>
          <w:szCs w:val="22"/>
        </w:rPr>
        <w:t xml:space="preserve">Tier checks are a balance read at quote time. No staking lockups in v1 — carrying the quiver is enough.</w:t>
      </w:r>
    </w:p>
    <w:p>
      <w:pPr>
        <w:pBdr>
          <w:bottom w:val="single" w:color="DDDDDD" w:sz="6"/>
        </w:pBdr>
        <w:spacing w:after="240" w:before="120"/>
      </w:pPr>
    </w:p>
    <w:p>
      <w:pPr>
        <w:pStyle w:val="Heading1"/>
      </w:pPr>
      <w:r>
        <w:t xml:space="preserve">5. $QUIVR</w:t>
      </w:r>
    </w:p>
    <w:p>
      <w:pPr>
        <w:spacing w:after="160" w:before="0"/>
      </w:pPr>
      <w:r>
        <w:rPr>
          <w:color w:val="111418"/>
          <w:sz w:val="22"/>
          <w:szCs w:val="22"/>
        </w:rPr>
        <w:t xml:space="preserve">The quiver holds the arrows. $QUIVR is the platform token of HoodSnipr, launched on Robinhood Chain.</w:t>
      </w:r>
    </w:p>
    <w:p>
      <w:pPr>
        <w:pStyle w:val="ListParagraph"/>
        <w:numPr>
          <w:ilvl w:val="0"/>
          <w:numId w:val="2"/>
        </w:numPr>
        <w:spacing w:after="100"/>
      </w:pPr>
      <w:r>
        <w:rPr>
          <w:b/>
          <w:bCs/>
          <w:color w:val="111418"/>
          <w:sz w:val="22"/>
          <w:szCs w:val="22"/>
        </w:rPr>
        <w:t xml:space="preserve">Supply — </w:t>
      </w:r>
      <w:r>
        <w:rPr>
          <w:color w:val="111418"/>
          <w:sz w:val="22"/>
          <w:szCs w:val="22"/>
        </w:rPr>
        <w:t xml:space="preserve">1,000,000,000 fixed. Mint authority burned at deployment.</w:t>
      </w:r>
    </w:p>
    <w:p>
      <w:pPr>
        <w:pStyle w:val="ListParagraph"/>
        <w:numPr>
          <w:ilvl w:val="0"/>
          <w:numId w:val="2"/>
        </w:numPr>
        <w:spacing w:after="100"/>
      </w:pPr>
      <w:r>
        <w:rPr>
          <w:b/>
          <w:bCs/>
          <w:color w:val="111418"/>
          <w:sz w:val="22"/>
          <w:szCs w:val="22"/>
        </w:rPr>
        <w:t xml:space="preserve">Fee split — </w:t>
      </w:r>
      <w:r>
        <w:rPr>
          <w:color w:val="111418"/>
          <w:sz w:val="22"/>
          <w:szCs w:val="22"/>
        </w:rPr>
        <w:t xml:space="preserve">50% of platform fees are routed to periodic open-market $QUIVR buybacks. Buyback transactions are public and announced.</w:t>
      </w:r>
    </w:p>
    <w:p>
      <w:pPr>
        <w:pStyle w:val="ListParagraph"/>
        <w:numPr>
          <w:ilvl w:val="0"/>
          <w:numId w:val="2"/>
        </w:numPr>
        <w:spacing w:after="100"/>
      </w:pPr>
      <w:r>
        <w:rPr>
          <w:b/>
          <w:bCs/>
          <w:color w:val="111418"/>
          <w:sz w:val="22"/>
          <w:szCs w:val="22"/>
        </w:rPr>
        <w:t xml:space="preserve">LP — </w:t>
      </w:r>
      <w:r>
        <w:rPr>
          <w:color w:val="111418"/>
          <w:sz w:val="22"/>
          <w:szCs w:val="22"/>
        </w:rPr>
        <w:t xml:space="preserve">Liquidity locked at launch. Lock proof published before trading opens.</w:t>
      </w:r>
    </w:p>
    <w:p>
      <w:pPr>
        <w:pStyle w:val="ListParagraph"/>
        <w:numPr>
          <w:ilvl w:val="0"/>
          <w:numId w:val="2"/>
        </w:numPr>
        <w:spacing w:after="100"/>
      </w:pPr>
      <w:r>
        <w:rPr>
          <w:b/>
          <w:bCs/>
          <w:color w:val="111418"/>
          <w:sz w:val="22"/>
          <w:szCs w:val="22"/>
        </w:rPr>
        <w:t xml:space="preserve">Distribution — </w:t>
      </w:r>
      <w:r>
        <w:rPr>
          <w:color w:val="111418"/>
          <w:sz w:val="22"/>
          <w:szCs w:val="22"/>
        </w:rPr>
        <w:t xml:space="preserve">No presale, no team allocation vesting cliff games. Team allocation, if any, is disclosed onchain before launch.</w:t>
      </w:r>
    </w:p>
    <w:p>
      <w:pPr>
        <w:spacing w:after="160" w:before="0"/>
      </w:pPr>
      <w:r>
        <w:rPr>
          <w:i/>
          <w:iCs/>
          <w:color w:val="111418"/>
          <w:sz w:val="22"/>
          <w:szCs w:val="22"/>
        </w:rPr>
        <w:t xml:space="preserve">What $QUIVR is not: it is not equity, not a claim on revenue, not a promise of profit. It is a utility token whose only guaranteed function is fee tiering inside HoodSnipr.</w:t>
      </w:r>
    </w:p>
    <w:p>
      <w:pPr>
        <w:pBdr>
          <w:bottom w:val="single" w:color="DDDDDD" w:sz="6"/>
        </w:pBdr>
        <w:spacing w:after="240" w:before="120"/>
      </w:pPr>
    </w:p>
    <w:p>
      <w:pPr>
        <w:pStyle w:val="Heading1"/>
      </w:pPr>
      <w:r>
        <w:t xml:space="preserve">6. Security Model</w:t>
      </w:r>
    </w:p>
    <w:p>
      <w:pPr>
        <w:spacing w:after="160" w:before="0"/>
      </w:pPr>
      <w:r>
        <w:rPr>
          <w:color w:val="111418"/>
          <w:sz w:val="22"/>
          <w:szCs w:val="22"/>
        </w:rPr>
        <w:t xml:space="preserve">HoodSnipr is built on hard-won production lessons:</w:t>
      </w:r>
    </w:p>
    <w:p>
      <w:pPr>
        <w:pStyle w:val="ListParagraph"/>
        <w:numPr>
          <w:ilvl w:val="0"/>
          <w:numId w:val="2"/>
        </w:numPr>
        <w:spacing w:after="100"/>
      </w:pPr>
      <w:r>
        <w:rPr>
          <w:b/>
          <w:bCs/>
          <w:color w:val="111418"/>
          <w:sz w:val="22"/>
          <w:szCs w:val="22"/>
        </w:rPr>
        <w:t xml:space="preserve">CSP-agnostic frontend — </w:t>
      </w:r>
      <w:r>
        <w:rPr>
          <w:color w:val="111418"/>
          <w:sz w:val="22"/>
          <w:szCs w:val="22"/>
        </w:rPr>
        <w:t xml:space="preserve">The client ships with a strict Content-Security-Policy and zero inline event handlers — all interaction is addEventListener with data-action delegation. This pattern exists because a Content-Security-Policy regression can silently disable every inline handler in production — a failure mode that ships clean and breaks everything.</w:t>
      </w:r>
    </w:p>
    <w:p>
      <w:pPr>
        <w:pStyle w:val="ListParagraph"/>
        <w:numPr>
          <w:ilvl w:val="0"/>
          <w:numId w:val="2"/>
        </w:numPr>
        <w:spacing w:after="100"/>
      </w:pPr>
      <w:r>
        <w:rPr>
          <w:b/>
          <w:bCs/>
          <w:color w:val="111418"/>
          <w:sz w:val="22"/>
          <w:szCs w:val="22"/>
        </w:rPr>
        <w:t xml:space="preserve">Frozen fee route — </w:t>
      </w:r>
      <w:r>
        <w:rPr>
          <w:color w:val="111418"/>
          <w:sz w:val="22"/>
          <w:szCs w:val="22"/>
        </w:rPr>
        <w:t xml:space="preserve">Fee recipient is a constant frozen in both client and contract, protected by Object.freeze in the app bundle and an immutable constant onchain.</w:t>
      </w:r>
    </w:p>
    <w:p>
      <w:pPr>
        <w:pStyle w:val="ListParagraph"/>
        <w:numPr>
          <w:ilvl w:val="0"/>
          <w:numId w:val="2"/>
        </w:numPr>
        <w:spacing w:after="100"/>
      </w:pPr>
      <w:r>
        <w:rPr>
          <w:b/>
          <w:bCs/>
          <w:color w:val="111418"/>
          <w:sz w:val="22"/>
          <w:szCs w:val="22"/>
        </w:rPr>
        <w:t xml:space="preserve">Test the standards — </w:t>
      </w:r>
      <w:r>
        <w:rPr>
          <w:color w:val="111418"/>
          <w:sz w:val="22"/>
          <w:szCs w:val="22"/>
        </w:rPr>
        <w:t xml:space="preserve">Every chain-level assumption gets a test. Standard-library calls throw on edge cases the spec never mentions, and the resulting failures are silent — the kind that kill transaction tracking without kicking an error. HoodSnipr maintains a dedicated suite for EVM receipt parsing, log decoding, and L2-specific gas behavior.</w:t>
      </w:r>
    </w:p>
    <w:p>
      <w:pPr>
        <w:pStyle w:val="ListParagraph"/>
        <w:numPr>
          <w:ilvl w:val="0"/>
          <w:numId w:val="2"/>
        </w:numPr>
        <w:spacing w:after="100"/>
      </w:pPr>
      <w:r>
        <w:rPr>
          <w:b/>
          <w:bCs/>
          <w:color w:val="111418"/>
          <w:sz w:val="22"/>
          <w:szCs w:val="22"/>
        </w:rPr>
        <w:t xml:space="preserve">Safety layer — </w:t>
      </w:r>
      <w:r>
        <w:rPr>
          <w:color w:val="111418"/>
          <w:sz w:val="22"/>
          <w:szCs w:val="22"/>
        </w:rPr>
        <w:t xml:space="preserve">Honeypot detection, liquidity floors, and mint-authority checks surface as badges on the board. Moderate policy: show everything, warn loudly, block the trade button only on the highest-risk flags.</w:t>
      </w:r>
    </w:p>
    <w:p>
      <w:pPr>
        <w:pStyle w:val="ListParagraph"/>
        <w:numPr>
          <w:ilvl w:val="0"/>
          <w:numId w:val="2"/>
        </w:numPr>
        <w:spacing w:after="100"/>
      </w:pPr>
      <w:r>
        <w:rPr>
          <w:b/>
          <w:bCs/>
          <w:color w:val="111418"/>
          <w:sz w:val="22"/>
          <w:szCs w:val="22"/>
        </w:rPr>
        <w:t xml:space="preserve">Non-custodial deposits — </w:t>
      </w:r>
      <w:r>
        <w:rPr>
          <w:color w:val="111418"/>
          <w:sz w:val="22"/>
          <w:szCs w:val="22"/>
        </w:rPr>
        <w:t xml:space="preserve">Send-ETH mode uses a factory contract with deterministic per-intent addresses. The platform never holds user keys and cannot redirect delivery — tokens return to the sending address by construction.</w:t>
      </w:r>
    </w:p>
    <w:p>
      <w:pPr>
        <w:pBdr>
          <w:bottom w:val="single" w:color="DDDDDD" w:sz="6"/>
        </w:pBdr>
        <w:spacing w:after="240" w:before="120"/>
      </w:pPr>
    </w:p>
    <w:p>
      <w:pPr>
        <w:pStyle w:val="Heading1"/>
      </w:pPr>
      <w:r>
        <w:t xml:space="preserve">7. Roadmap</w:t>
      </w:r>
    </w:p>
    <w:p>
      <w:pPr>
        <w:pStyle w:val="ListParagraph"/>
        <w:numPr>
          <w:ilvl w:val="0"/>
          <w:numId w:val="2"/>
        </w:numPr>
        <w:spacing w:after="100"/>
      </w:pPr>
      <w:r>
        <w:rPr>
          <w:b/>
          <w:bCs/>
          <w:color w:val="111418"/>
          <w:sz w:val="22"/>
          <w:szCs w:val="22"/>
        </w:rPr>
        <w:t xml:space="preserve">v0.1 — The Scope — </w:t>
      </w:r>
      <w:r>
        <w:rPr>
          <w:color w:val="111418"/>
          <w:sz w:val="22"/>
          <w:szCs w:val="22"/>
        </w:rPr>
        <w:t xml:space="preserve">Prototype dapp (this build): trending board, wallet + send-ETH flows, fee model, $QUIVR tiers. Simulated data.</w:t>
      </w:r>
    </w:p>
    <w:p>
      <w:pPr>
        <w:pStyle w:val="ListParagraph"/>
        <w:numPr>
          <w:ilvl w:val="0"/>
          <w:numId w:val="2"/>
        </w:numPr>
        <w:spacing w:after="100"/>
      </w:pPr>
      <w:r>
        <w:rPr>
          <w:b/>
          <w:bCs/>
          <w:color w:val="111418"/>
          <w:sz w:val="22"/>
          <w:szCs w:val="22"/>
        </w:rPr>
        <w:t xml:space="preserve">v0.2 — First Blood — </w:t>
      </w:r>
      <w:r>
        <w:rPr>
          <w:color w:val="111418"/>
          <w:sz w:val="22"/>
          <w:szCs w:val="22"/>
        </w:rPr>
        <w:t xml:space="preserve">Live data: Robinhood Chain RPC + indexer integration, real wallet snipes through the chain's native DEX liquidity, honeypot badges.</w:t>
      </w:r>
    </w:p>
    <w:p>
      <w:pPr>
        <w:pStyle w:val="ListParagraph"/>
        <w:numPr>
          <w:ilvl w:val="0"/>
          <w:numId w:val="2"/>
        </w:numPr>
        <w:spacing w:after="100"/>
      </w:pPr>
      <w:r>
        <w:rPr>
          <w:b/>
          <w:bCs/>
          <w:color w:val="111418"/>
          <w:sz w:val="22"/>
          <w:szCs w:val="22"/>
        </w:rPr>
        <w:t xml:space="preserve">v0.3 — The Quiver Fills — </w:t>
      </w:r>
      <w:r>
        <w:rPr>
          <w:color w:val="111418"/>
          <w:sz w:val="22"/>
          <w:szCs w:val="22"/>
        </w:rPr>
        <w:t xml:space="preserve">$QUIVR token generation event, LP lock, fee tiers live, buyback engine on.</w:t>
      </w:r>
    </w:p>
    <w:p>
      <w:pPr>
        <w:pStyle w:val="ListParagraph"/>
        <w:numPr>
          <w:ilvl w:val="0"/>
          <w:numId w:val="2"/>
        </w:numPr>
        <w:spacing w:after="100"/>
      </w:pPr>
      <w:r>
        <w:rPr>
          <w:b/>
          <w:bCs/>
          <w:color w:val="111418"/>
          <w:sz w:val="22"/>
          <w:szCs w:val="22"/>
        </w:rPr>
        <w:t xml:space="preserve">v0.4 — Longshot — </w:t>
      </w:r>
      <w:r>
        <w:rPr>
          <w:color w:val="111418"/>
          <w:sz w:val="22"/>
          <w:szCs w:val="22"/>
        </w:rPr>
        <w:t xml:space="preserve">Send-ETH factory contract audited and deployed. Limit snipes (trigger on volume threshold crossing). Mobile PWA.</w:t>
      </w:r>
    </w:p>
    <w:p>
      <w:pPr>
        <w:pStyle w:val="ListParagraph"/>
        <w:numPr>
          <w:ilvl w:val="0"/>
          <w:numId w:val="2"/>
        </w:numPr>
        <w:spacing w:after="100"/>
      </w:pPr>
      <w:r>
        <w:rPr>
          <w:b/>
          <w:bCs/>
          <w:color w:val="111418"/>
          <w:sz w:val="22"/>
          <w:szCs w:val="22"/>
        </w:rPr>
        <w:t xml:space="preserve">v1.0 — Deadeye — </w:t>
      </w:r>
      <w:r>
        <w:rPr>
          <w:color w:val="111418"/>
          <w:sz w:val="22"/>
          <w:szCs w:val="22"/>
        </w:rPr>
        <w:t xml:space="preserve">Auto-snipe strategies, portfolio tracking, and cross-chain expansion beyond Robinhood Chain.</w:t>
      </w:r>
    </w:p>
    <w:p>
      <w:pPr>
        <w:pBdr>
          <w:bottom w:val="single" w:color="DDDDDD" w:sz="6"/>
        </w:pBdr>
        <w:spacing w:after="240" w:before="120"/>
      </w:pPr>
    </w:p>
    <w:p>
      <w:pPr>
        <w:pStyle w:val="Heading1"/>
      </w:pPr>
      <w:r>
        <w:t xml:space="preserve">8. Risks and Disclaimers</w:t>
      </w:r>
    </w:p>
    <w:p>
      <w:pPr>
        <w:spacing w:after="160" w:before="0"/>
      </w:pPr>
      <w:r>
        <w:rPr>
          <w:color w:val="111418"/>
          <w:sz w:val="22"/>
          <w:szCs w:val="22"/>
        </w:rPr>
        <w:t xml:space="preserve">Bugs exist. Robinhood Chain, its sequencer, its DEX contracts, the token contracts you trade, and Ethereum itself are independent systems beyond our control. Robinhood Chain launched its mainnet in July 2026 and runs a single sequencer at this stage — new-chain risk is real and includes downtime, reorgs, and bridge delays.</w:t>
      </w:r>
    </w:p>
    <w:p>
      <w:pPr>
        <w:spacing w:after="160" w:before="0"/>
      </w:pPr>
      <w:r>
        <w:rPr>
          <w:color w:val="111418"/>
          <w:sz w:val="22"/>
          <w:szCs w:val="22"/>
        </w:rPr>
        <w:t xml:space="preserve">Trading memecoins involves total-loss risk. Trending volume is not a signal of quality — it is frequently a signal of manipulation. The 0.25% fee is non-refundable on transaction failure. $QUIVR may go to zero. None of this document is investment advice. We are not a registered broker, exchange, or financial advisor in any jurisdiction, and HoodSnipr is not affiliated with, endorsed by, or connected to Robinhood Markets, Inc. — "Robinhood Chain" is referenced solely to identify the network the platform operates on.</w:t>
      </w:r>
    </w:p>
    <w:p>
      <w:pPr>
        <w:spacing w:after="160" w:before="0"/>
      </w:pPr>
      <w:r>
        <w:rPr>
          <w:color w:val="111418"/>
          <w:sz w:val="22"/>
          <w:szCs w:val="22"/>
        </w:rPr>
        <w:t xml:space="preserve">By using HoodSnipr you agree that you are responsible for your own decisions and for verifying that any transaction matches your intent before you sign it in your wallet.</w:t>
      </w:r>
    </w:p>
    <w:p>
      <w:pPr>
        <w:spacing w:after="400" w:before="0"/>
      </w:pPr>
      <w:r>
        <w:rPr>
          <w:color w:val="111418"/>
          <w:sz w:val="22"/>
          <w:szCs w:val="22"/>
        </w:rPr>
        <w:t xml:space="preserve"> </w:t>
      </w:r>
    </w:p>
    <w:p>
      <w:pPr>
        <w:jc w:val="center"/>
      </w:pPr>
      <w:r>
        <w:rPr>
          <w:b/>
          <w:bCs/>
          <w:i/>
          <w:iCs/>
          <w:color w:val="7C8683"/>
          <w:sz w:val="20"/>
          <w:szCs w:val="20"/>
        </w:rPr>
        <w:t xml:space="preserve">End of the Quivr Paper, v0.1 · [ ◎ ] nock. draw. loose.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C868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C8683"/>
        <w:sz w:val="18"/>
        <w:szCs w:val="18"/>
      </w:rPr>
      <w:t xml:space="preserve">THE QUIVR PAPER · v0.1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11418"/>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00A80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Quivr Paper</dc:title>
  <dc:creator>HoodSnipr</dc:creator>
  <cp:lastModifiedBy>Un-named</cp:lastModifiedBy>
  <cp:revision>1</cp:revision>
  <dcterms:created xsi:type="dcterms:W3CDTF">2026-08-17T00:29:37.416Z</dcterms:created>
  <dcterms:modified xsi:type="dcterms:W3CDTF">2026-08-17T00:29:37.435Z</dcterms:modified>
</cp:coreProperties>
</file>

<file path=docProps/custom.xml><?xml version="1.0" encoding="utf-8"?>
<Properties xmlns="http://schemas.openxmlformats.org/officeDocument/2006/custom-properties" xmlns:vt="http://schemas.openxmlformats.org/officeDocument/2006/docPropsVTypes"/>
</file>