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sz w:val="40"/>
          <w:szCs w:val="40"/>
        </w:rPr>
        <w:t xml:space="preserve">업무협약서(MOU) 검토의견서</w:t>
      </w:r>
    </w:p>
    <w:p>
      <w:pPr>
        <w:spacing w:after="240"/>
        <w:jc w:val="center"/>
      </w:pPr>
      <w:r>
        <w:rPr>
          <w:color w:val="555555"/>
          <w:sz w:val="22"/>
          <w:szCs w:val="22"/>
        </w:rPr>
        <w:t xml:space="preserve">― 을의 입장에서 본 일반적 검토 ―</w:t>
      </w:r>
    </w:p>
    <w:p>
      <w:pPr>
        <w:spacing w:after="60" w:line="300"/>
      </w:pPr>
      <w:r>
        <w:rPr>
          <w:b/>
          <w:bCs/>
        </w:rPr>
        <w:t xml:space="preserve">□ 대상 문서 : </w:t>
      </w:r>
      <w:r>
        <w:t xml:space="preserve">「업무협약서(MOU)」 초안 (시각장애인 영상 접근성 향상 및 화면해설 서비스 ‘뷰레이터’ 공동 운영)</w:t>
      </w:r>
    </w:p>
    <w:p>
      <w:pPr>
        <w:spacing w:after="60" w:line="300"/>
      </w:pPr>
      <w:r>
        <w:rPr>
          <w:b/>
          <w:bCs/>
        </w:rPr>
        <w:t xml:space="preserve">□ 검토 대상 당사자 : </w:t>
      </w:r>
      <w:r>
        <w:t xml:space="preserve">을 (‘뷰레이터’ 서비스 개발·운영 주체)</w:t>
      </w:r>
    </w:p>
    <w:p>
      <w:pPr>
        <w:spacing w:after="60" w:line="300"/>
      </w:pPr>
      <w:r>
        <w:rPr>
          <w:b/>
          <w:bCs/>
        </w:rPr>
        <w:t xml:space="preserve">□ 검토 관점 : </w:t>
      </w:r>
      <w:r>
        <w:t xml:space="preserve">사회복지 분야 자문 경력 변호사</w:t>
      </w:r>
    </w:p>
    <w:p>
      <w:pPr>
        <w:spacing w:after="60" w:line="300"/>
      </w:pPr>
      <w:r>
        <w:rPr>
          <w:b/>
          <w:bCs/>
        </w:rPr>
        <w:t xml:space="preserve">□ 작성일 : </w:t>
      </w:r>
      <w:r>
        <w:t xml:space="preserve">2026. 6. 18.</w:t>
      </w:r>
    </w:p>
    <w:p>
      <w:pPr>
        <w:spacing w:after="60" w:line="300"/>
      </w:pPr>
      <w:r>
        <w:rPr>
          <w:b/>
          <w:bCs/>
        </w:rPr>
        <w:t xml:space="preserve">□ 작성자 : </w:t>
      </w:r>
      <w:r>
        <w:t xml:space="preserve">________________ (변호사)</w:t>
      </w:r>
    </w:p>
    <w:p>
      <w:pPr>
        <w:pBdr>
          <w:bottom w:val="single" w:color="2E75B6" w:sz="6" w:space="1"/>
        </w:pBdr>
        <w:spacing w:after="200" w:before="120"/>
      </w:pPr>
      <w:r>
        <w:t xml:space="preserve"/>
      </w:r>
    </w:p>
    <w:p>
      <w:pPr>
        <w:pStyle w:val="Heading1"/>
      </w:pPr>
      <w:r>
        <w:t xml:space="preserve">Ⅰ. 검토 개요</w:t>
      </w:r>
    </w:p>
    <w:p>
      <w:pPr>
        <w:spacing w:after="120" w:line="312"/>
      </w:pPr>
      <w:r>
        <w:t xml:space="preserve">본 의견서는 시각장애인의 영상 접근성 향상과 유튜브 화면해설 서비스 ‘뷰레이터’의 공동 운영을 목적으로 하는 업무협약서(MOU) 초안에 대하여, 서비스 개발·운영 주체인 을의 입장에서 검토한 것이다. 검토 시점은 양해각서 체결 단계이므로, 후속 본계약에서 정할 세부 조건을 미리 확정하는 것이 아니라, 현 단계의 문언이 추후 을에게 불리하게 작용하거나 분쟁의 소지가 될 수 있는 부분을 점검하는 데 주안점을 두었다.</w:t>
      </w:r>
    </w:p>
    <w:p>
      <w:pPr>
        <w:spacing w:after="120" w:line="312"/>
      </w:pPr>
      <w:r>
        <w:t xml:space="preserve">전체적으로 악의적이라 평가할 만한 이른바 ‘독소조항’은 발견되지 않는다. 다만 을에게 실질적 위험은 ‘불리한 조항’보다 ‘비어 있는 조항’에 있으며, 특히 개인정보 처리 책임과 개발 자산의 귀속에 관한 공백을 보완할 필요가 있다.</w:t>
      </w:r>
    </w:p>
    <w:p>
      <w:pPr>
        <w:pStyle w:val="Heading1"/>
      </w:pPr>
      <w:r>
        <w:t xml:space="preserve">Ⅱ. 총평</w:t>
      </w:r>
    </w:p>
    <w:p>
      <w:pPr>
        <w:spacing w:after="120" w:line="312"/>
      </w:pPr>
      <w:r>
        <w:t xml:space="preserve">이 협약은 제6조에서 ‘비밀유지(제5조)를 제외하고는 법적 구속력이 없다’고 명시하고 있어, 양해각서로서의 구조 자체는 을에게 비교적 안전하다. 그러나 같은 이유로, 실질적으로 을을 구속하는 유일한 조항인 제5조 비밀유지 조항의 완성도가 사실상 이 협약의 핵심이 된다.</w:t>
      </w:r>
    </w:p>
    <w:p>
      <w:pPr>
        <w:spacing w:after="120" w:line="312"/>
      </w:pPr>
      <w:r>
        <w:t xml:space="preserve">또한 을은 제4조에 따라 서비스 개발 일체와 운영 전반을 책임지는 반면, 갑의 핵심 기여인 운영비 지원(제3조)은 구속력 밖에 놓여 있어 의무의 비대칭이 존재한다. 따라서 ① 비밀유지 조항의 정비, ② 개인정보(시각장애인 인증정보) 처리 관계의 명확화, ③ 개발 자산·지식재산권 귀속의 안전장치 마련을 우선 과제로 권고한다.</w:t>
      </w:r>
    </w:p>
    <w:p>
      <w:pPr>
        <w:pStyle w:val="Heading1"/>
      </w:pPr>
      <w:r>
        <w:t xml:space="preserve">Ⅲ. 조항별 검토 의견 및 수정안</w:t>
      </w:r>
    </w:p>
    <w:p>
      <w:pPr>
        <w:spacing w:after="120" w:line="312"/>
      </w:pPr>
      <w:r>
        <w:rPr>
          <w:color w:val="555555"/>
        </w:rPr>
        <w:t xml:space="preserve">이하 의견이 있는 조항에 한하여, ‘조항 → 검토 의견 → 수정안 예시’ 순서로 기재한다. 수정안 예시(음영 표시 부분)는 협상용 예시 문언이며, 최종 문구는 갑과의 협의 및 후속 본계약 설계에 따라 조정될 수 있다.</w:t>
      </w:r>
    </w:p>
    <w:p>
      <w:pPr>
        <w:pStyle w:val="Heading2"/>
      </w:pPr>
      <w:r>
        <w:t xml:space="preserve">1. 제3조 (갑의 역할과 책무)</w:t>
      </w:r>
    </w:p>
    <w:p>
      <w:pPr>
        <w:spacing w:after="60"/>
      </w:pPr>
      <w:r>
        <w:rPr>
          <w:b/>
          <w:bCs/>
        </w:rPr>
        <w:t xml:space="preserve">조항</w:t>
      </w:r>
    </w:p>
    <w:p>
      <w:pPr>
        <w:pBdr>
          <w:left w:val="single" w:color="999999" w:sz="12" w:space="8"/>
        </w:pBdr>
        <w:spacing w:after="100" w:line="300"/>
        <w:ind w:left="360"/>
      </w:pPr>
      <w:r>
        <w:rPr>
          <w:i/>
          <w:iCs/>
          <w:color w:val="444444"/>
        </w:rPr>
        <w:t xml:space="preserve">운영비 지원 및 ‘시각장애인 인증 API’ 제공. 운영비는 ‘양 기관이 상호 협의하여 결정한’ 금액을 지원하고, 인증 시 이용자 동의 과정을 거친다고 정한다.</w:t>
      </w:r>
    </w:p>
    <w:p>
      <w:pPr>
        <w:spacing w:after="60"/>
      </w:pPr>
      <w:r>
        <w:rPr>
          <w:b/>
          <w:bCs/>
        </w:rPr>
        <w:t xml:space="preserve">검토 의견</w:t>
      </w:r>
    </w:p>
    <w:p>
      <w:pPr>
        <w:spacing w:after="120" w:line="312"/>
      </w:pPr>
      <w:r>
        <w:t xml:space="preserve">운영비 지원과 인증 API 제공은 모두 ‘협의하여 결정’ 또는 미확정 상태이고, 제6조에 따라 예산 규모·이용 조건은 법적 구속력이 없다. 결과적으로 갑은 자금 지원과 API 제공을 법적으로 약속한 바가 없는 셈이다. 양해각서의 비구속성 자체는 정상이나, 을의 입장에서는 갑의 핵심 기여가 모두 ‘선언’에 머문다는 점을 인식하고, 운영비·API에 관한 별도 합의가 성립하기 전에 대규모 선투자를 하지 않도록 순서를 관리할 필요가 있다. 또한 인증 API는 민감정보의 흐름과 직결되므로, 제공 시기·방식과 더불어 개인정보 처리 근거를 함께 정하는 것이 안전하다.</w:t>
      </w:r>
    </w:p>
    <w:p>
      <w:pPr>
        <w:spacing w:after="60"/>
      </w:pPr>
      <w:r>
        <w:rPr>
          <w:b/>
          <w:bCs/>
        </w:rPr>
        <w:t xml:space="preserve">수정안 예시</w:t>
      </w:r>
    </w:p>
    <w:p>
      <w:pPr>
        <w:pBdr>
          <w:left w:val="single" w:color="2E75B6" w:sz="18" w:space="8"/>
        </w:pBdr>
        <w:shd w:fill="F2F2F2" w:val="clear"/>
        <w:spacing w:after="160" w:before="60" w:line="312"/>
        <w:ind w:left="360"/>
      </w:pPr>
      <w:r>
        <w:t xml:space="preserve">갑은 ‘뷰레이터’ 서비스의 운영을 위하여 운영비를 지원하되, 그 구체적 규모·지급 시기·지급 방법은 양 기관이 별도의 합의로 정한다. 갑은 시각장애인 인증 API를 제공하되, 제공 시기·방식·이용조건 및 개인정보 처리에 관한 사항은 개인정보 보호법령에 따른 별도의 계약으로 정한다. 인증은 반드시 이용자의 사전 동의를 거쳐 진행한다.</w:t>
      </w:r>
    </w:p>
    <w:p>
      <w:pPr>
        <w:pStyle w:val="Heading2"/>
      </w:pPr>
      <w:r>
        <w:t xml:space="preserve">2. 제4조 (을의 역할과 책무) 및 자산·지식재산권 귀속 [제1조·제2조 관련]</w:t>
      </w:r>
    </w:p>
    <w:p>
      <w:pPr>
        <w:spacing w:after="60"/>
      </w:pPr>
      <w:r>
        <w:rPr>
          <w:b/>
          <w:bCs/>
        </w:rPr>
        <w:t xml:space="preserve">조항</w:t>
      </w:r>
    </w:p>
    <w:p>
      <w:pPr>
        <w:pBdr>
          <w:left w:val="single" w:color="999999" w:sz="12" w:space="8"/>
        </w:pBdr>
        <w:spacing w:after="100" w:line="300"/>
        <w:ind w:left="360"/>
      </w:pPr>
      <w:r>
        <w:rPr>
          <w:i/>
          <w:iCs/>
          <w:color w:val="444444"/>
        </w:rPr>
        <w:t xml:space="preserve">을은 ‘뷰레이터’ 운영에 필요한 시스템·플랫폼 등 서비스 개발 일체와 전반적 운영을 책임지고 수행하며, 회원제 운영, 모니터링·고객응대·데이터 관리 등 유지보수와 세부 운영 전반을 진행한다. 한편 제1조·제2조는 ‘뷰레이터’를 ‘공동 운영’으로 표현한다.</w:t>
      </w:r>
    </w:p>
    <w:p>
      <w:pPr>
        <w:spacing w:after="60"/>
      </w:pPr>
      <w:r>
        <w:rPr>
          <w:b/>
          <w:bCs/>
        </w:rPr>
        <w:t xml:space="preserve">검토 의견</w:t>
      </w:r>
    </w:p>
    <w:p>
      <w:pPr>
        <w:spacing w:after="120" w:line="312"/>
      </w:pPr>
      <w:r>
        <w:t xml:space="preserve">실제로 시스템·플랫폼을 개발하고 운영하는 주체는 을이지만, 명칭은 ‘공동 운영’으로 표현되어 있다. 이 표현의 간극을 그대로 두면, 협약 종료 시 플랫폼·소스코드·데이터 및 ‘뷰레이터’라는 명칭(상표) 자체의 소유권을 둘러싼 다툼이 생길 수 있다. 양해각서 단계에서 지분 구조까지 확정할 필요는 없으나, ‘공동 운영’ 문언이 을이 투입한 개발 성과를 갑에게 자동 귀속시키는 근거로 해석되지 않도록, 권리 귀속에 관한 안전장치를 한 문장 두는 것이 바람직하다.</w:t>
      </w:r>
    </w:p>
    <w:p>
      <w:pPr>
        <w:spacing w:after="60"/>
      </w:pPr>
      <w:r>
        <w:rPr>
          <w:b/>
          <w:bCs/>
        </w:rPr>
        <w:t xml:space="preserve">수정안 예시</w:t>
      </w:r>
    </w:p>
    <w:p>
      <w:pPr>
        <w:pBdr>
          <w:left w:val="single" w:color="2E75B6" w:sz="18" w:space="8"/>
        </w:pBdr>
        <w:shd w:fill="F2F2F2" w:val="clear"/>
        <w:spacing w:after="160" w:before="60" w:line="312"/>
        <w:ind w:left="360"/>
      </w:pPr>
      <w:r>
        <w:t xml:space="preserve">을이 본 협약의 이행 과정에서 개발한 시스템·플랫폼·소프트웨어·데이터 및 ‘뷰레이터’ 명칭을 포함한 일체의 지식재산권은 을에게 귀속한다. 그 구체적 이용·귀속 관계는 별도의 계약으로 달리 정할 수 있으며, 본 협약의 어떠한 내용도 위 권리를 갑에게 이전하거나 공유하게 하는 것으로 해석되지 아니한다.</w:t>
      </w:r>
    </w:p>
    <w:p>
      <w:pPr>
        <w:pStyle w:val="Heading2"/>
      </w:pPr>
      <w:r>
        <w:t xml:space="preserve">3. 제5조 (비밀유지) — 최우선 정비 대상</w:t>
      </w:r>
    </w:p>
    <w:p>
      <w:pPr>
        <w:spacing w:after="60"/>
      </w:pPr>
      <w:r>
        <w:rPr>
          <w:b/>
          <w:bCs/>
        </w:rPr>
        <w:t xml:space="preserve">조항</w:t>
      </w:r>
    </w:p>
    <w:p>
      <w:pPr>
        <w:pBdr>
          <w:left w:val="single" w:color="999999" w:sz="12" w:space="8"/>
        </w:pBdr>
        <w:spacing w:after="100" w:line="300"/>
        <w:ind w:left="360"/>
      </w:pPr>
      <w:r>
        <w:rPr>
          <w:i/>
          <w:iCs/>
          <w:color w:val="444444"/>
        </w:rPr>
        <w:t xml:space="preserve">양 기관은 상대방의 업무상 비밀·기술정보·개인정보(시각장애인 인증정보 포함)를 제3자에게 누설하거나 협약 외 목적으로 사용해서는 안 되며, 그 의무는 협약 만료·해지 이후에도 지속된다.</w:t>
      </w:r>
    </w:p>
    <w:p>
      <w:pPr>
        <w:spacing w:after="60"/>
      </w:pPr>
      <w:r>
        <w:rPr>
          <w:b/>
          <w:bCs/>
        </w:rPr>
        <w:t xml:space="preserve">검토 의견</w:t>
      </w:r>
    </w:p>
    <w:p>
      <w:pPr>
        <w:spacing w:after="120" w:line="312"/>
      </w:pPr>
      <w:r>
        <w:t xml:space="preserve">이 조항은 제6조에 따라 ‘유일하게 법적 구속력이 있는’ 조항이므로 완성도가 특히 중요하다. 쌍방 의무라는 점은 적절하나, 세 가지가 비어 있다. 첫째, 보호 대상인 ‘비밀정보’의 정의가 없어, 향후 을의 통상적 영업활동까지 위반으로 주장될 여지가 있다. 둘째, 예외 사유가 없다. 통상 (가) 이미 공지된 정보, (나) 독자적으로 개발한 정보, (다) 제3자로부터 적법하게 취득한 정보, (라) 법령·법원·수사기관의 요구에 따른 부득이한 공개를 의무에서 제외한다. 특히 을은 서비스 개발 주체이므로 ‘독자 개발 정보 제외’ 단서는 반드시 확보하는 것이 좋다. 셋째, 기간이 무기한이다. 개인정보·진정한 영업비밀은 무기한이 정당화될 수 있으나, 일반 업무정보까지 영구히 묶는 것은 과도하므로, 일반 정보는 종료 후 3~5년으로 한정하고 개인정보·영업비밀만 법정 기간 동안 존속시키는 이원화가 합리적이다.</w:t>
      </w:r>
    </w:p>
    <w:p>
      <w:pPr>
        <w:spacing w:after="60"/>
      </w:pPr>
      <w:r>
        <w:rPr>
          <w:b/>
          <w:bCs/>
        </w:rPr>
        <w:t xml:space="preserve">수정안 예시</w:t>
      </w:r>
    </w:p>
    <w:p>
      <w:pPr>
        <w:pBdr>
          <w:left w:val="single" w:color="2E75B6" w:sz="18" w:space="8"/>
        </w:pBdr>
        <w:shd w:fill="F2F2F2" w:val="clear"/>
        <w:spacing w:after="160" w:before="60" w:line="312"/>
        <w:ind w:left="360"/>
      </w:pPr>
      <w:r>
        <w:t xml:space="preserve">① ‘비밀정보’란 일방이 상대방에게 제공하거나 본 협약 이행 과정에서 알게 된 업무상·기술상 정보 및 개인정보로서, 제공 시 비밀로 표시하였거나 그 성질상 비밀임이 명백한 정보를 말한다. ② 다음 각 호의 정보는 비밀정보에서 제외한다. 1. 제공 시 이미 공지되었거나 그 후 수령자의 귀책 없이 공지된 정보, 2. 수령자가 본 협약과 무관하게 독자적으로 개발한 정보, 3. 정당한 권한 있는 제3자로부터 비밀유지 의무 없이 적법하게 취득한 정보, 4. 법령 또는 법원·수사기관 등 정당한 권한 있는 기관의 요구에 따라 부득이 공개하는 정보(이 경우 가능한 범위에서 사전 통지). ③ 비밀유지 의무는 본 협약 종료 후 3년간 존속한다. 다만 개인정보 및 영업비밀에 해당하는 정보에 대한 의무는 관계 법령이 정하는 기간 동안 존속한다.</w:t>
      </w:r>
    </w:p>
    <w:p>
      <w:pPr>
        <w:pStyle w:val="Heading2"/>
      </w:pPr>
      <w:r>
        <w:t xml:space="preserve">4. 개인정보(시각장애인 인증정보) 처리 관계 [제3조·제5조 관련]</w:t>
      </w:r>
    </w:p>
    <w:p>
      <w:pPr>
        <w:spacing w:after="60"/>
      </w:pPr>
      <w:r>
        <w:rPr>
          <w:b/>
          <w:bCs/>
        </w:rPr>
        <w:t xml:space="preserve">검토 의견</w:t>
      </w:r>
    </w:p>
    <w:p>
      <w:pPr>
        <w:spacing w:after="120" w:line="312"/>
      </w:pPr>
      <w:r>
        <w:t xml:space="preserve">장애 여부·정도에 관한 정보는 건강에 관한 정보로서 개인정보 보호법상 민감정보(같은 법 제23조)에 해당할 여지가 크고, 이 경우 정보주체의 별도 동의 등 가중된 요건이 적용된다. 제3조가 ‘반드시 이용자의 동의를 거친다’고 정한 점은 적절하다. 그러나 그 정보를 받아 처리하는 을의 지위가 정의되어 있지 않다. 갑이 인증 API로 결과를 제공하는 구조가 제3자 제공(제17조)인지, 업무 위탁(제26조)인지에 따라 을의 의무와 책임이 달라진다. 어느 쪽이든 정보를 실제 보유·처리하는 을이 유출 사고의 일차적 책임 대상이 되기 쉽다. 세부 계약까지 지금 만들 필요는 없으나, 처리 관계와 책임 분담을 별도 계약으로 정한다는 점을 본문에 명시하여 책임 소재를 백지로 두지 않는 것이 핵심이다.</w:t>
      </w:r>
    </w:p>
    <w:p>
      <w:pPr>
        <w:spacing w:after="60"/>
      </w:pPr>
      <w:r>
        <w:rPr>
          <w:b/>
          <w:bCs/>
        </w:rPr>
        <w:t xml:space="preserve">수정안 예시</w:t>
      </w:r>
    </w:p>
    <w:p>
      <w:pPr>
        <w:pBdr>
          <w:left w:val="single" w:color="2E75B6" w:sz="18" w:space="8"/>
        </w:pBdr>
        <w:shd w:fill="F2F2F2" w:val="clear"/>
        <w:spacing w:after="160" w:before="60" w:line="312"/>
        <w:ind w:left="360"/>
      </w:pPr>
      <w:r>
        <w:t xml:space="preserve">갑과 을은 시각장애인 인증정보 등 개인정보의 처리와 관련하여, 처리 목적·항목·보유기간, 당사자의 지위(제3자 제공 또는 처리위탁), 안전성 확보조치 및 책임 분담에 관한 사항을 개인정보 보호법령에 따라 별도의 계약으로 정한다. 인증정보의 수집·이용·제공은 정보주체의 사전 동의를 전제로 한다.</w:t>
      </w:r>
    </w:p>
    <w:p>
      <w:pPr>
        <w:pStyle w:val="Heading2"/>
      </w:pPr>
      <w:r>
        <w:t xml:space="preserve">5. 제6조 (법적 효력)</w:t>
      </w:r>
    </w:p>
    <w:p>
      <w:pPr>
        <w:spacing w:after="60"/>
      </w:pPr>
      <w:r>
        <w:rPr>
          <w:b/>
          <w:bCs/>
        </w:rPr>
        <w:t xml:space="preserve">조항</w:t>
      </w:r>
    </w:p>
    <w:p>
      <w:pPr>
        <w:pBdr>
          <w:left w:val="single" w:color="999999" w:sz="12" w:space="8"/>
        </w:pBdr>
        <w:spacing w:after="100" w:line="300"/>
        <w:ind w:left="360"/>
      </w:pPr>
      <w:r>
        <w:rPr>
          <w:i/>
          <w:iCs/>
          <w:color w:val="444444"/>
        </w:rPr>
        <w:t xml:space="preserve">본 협약은 제5조(비밀유지)를 제외하고 법적으로 구속하지 아니하며, 예산 규모·이용 조건 등 구속력이 필요한 사항은 별도 특약·세부 계약으로 정한다.</w:t>
      </w:r>
    </w:p>
    <w:p>
      <w:pPr>
        <w:spacing w:after="60"/>
      </w:pPr>
      <w:r>
        <w:rPr>
          <w:b/>
          <w:bCs/>
        </w:rPr>
        <w:t xml:space="preserve">검토 의견</w:t>
      </w:r>
    </w:p>
    <w:p>
      <w:pPr>
        <w:spacing w:after="120" w:line="312"/>
      </w:pPr>
      <w:r>
        <w:t xml:space="preserve">비구속 구조와 세부사항 유보는 양해각서로서 적절하며 을에게 유리한 편이다. 다만 갑의 자금 지원이 구속력 밖에 있는 만큼, 을이 운영비 합의 성립 전에 선이행하지 않도록 ‘선이행 의무 부존재’를 분명히 해 두면 안전하다. 참고로 협약을 비구속으로 명시하더라도, 협상 과정에서 일방이 상대의 신뢰를 부당하게 저버린 경우 신의칙상 책임이나 계약체결상의 과실 책임이 문제될 여지가 전혀 없는 것은 아니므로, 갑이 명확히 약속한 사항(예: 특정 시점의 API 제공)은 회의록 등으로 남겨 두는 것이 바람직하다.</w:t>
      </w:r>
    </w:p>
    <w:p>
      <w:pPr>
        <w:spacing w:after="60"/>
      </w:pPr>
      <w:r>
        <w:rPr>
          <w:b/>
          <w:bCs/>
        </w:rPr>
        <w:t xml:space="preserve">수정안 예시</w:t>
      </w:r>
    </w:p>
    <w:p>
      <w:pPr>
        <w:pBdr>
          <w:left w:val="single" w:color="2E75B6" w:sz="18" w:space="8"/>
        </w:pBdr>
        <w:shd w:fill="F2F2F2" w:val="clear"/>
        <w:spacing w:after="160" w:before="60" w:line="312"/>
        <w:ind w:left="360"/>
      </w:pPr>
      <w:r>
        <w:t xml:space="preserve">본 협약은 제5조를 제외하고 법적 구속력이 없으며, 운영비 지원·인증 API 제공 등 구체적 이행 사항은 별도 계약의 체결을 조건으로 한다. 어느 당사자도 별도 계약 체결 전에는 본 협약을 근거로 한 선이행 의무를 부담하지 아니한다.</w:t>
      </w:r>
    </w:p>
    <w:p>
      <w:pPr>
        <w:pStyle w:val="Heading2"/>
      </w:pPr>
      <w:r>
        <w:t xml:space="preserve">6. 제8조 (협약의 해지 및 변경)</w:t>
      </w:r>
    </w:p>
    <w:p>
      <w:pPr>
        <w:spacing w:after="60"/>
      </w:pPr>
      <w:r>
        <w:rPr>
          <w:b/>
          <w:bCs/>
        </w:rPr>
        <w:t xml:space="preserve">조항</w:t>
      </w:r>
    </w:p>
    <w:p>
      <w:pPr>
        <w:pBdr>
          <w:left w:val="single" w:color="999999" w:sz="12" w:space="8"/>
        </w:pBdr>
        <w:spacing w:after="100" w:line="300"/>
        <w:ind w:left="360"/>
      </w:pPr>
      <w:r>
        <w:rPr>
          <w:i/>
          <w:iCs/>
          <w:color w:val="444444"/>
        </w:rPr>
        <w:t xml:space="preserve">부득이한 사유로 해지·변경 시 만료 1개월 전까지 통보하고 상호 합의하여야 하며, 일방이 이행이 어렵거나 협약 목적에 위배되는 행위를 한 경우 상호 협의를 거쳐 해지할 수 있다.</w:t>
      </w:r>
    </w:p>
    <w:p>
      <w:pPr>
        <w:spacing w:after="60"/>
      </w:pPr>
      <w:r>
        <w:rPr>
          <w:b/>
          <w:bCs/>
        </w:rPr>
        <w:t xml:space="preserve">검토 의견</w:t>
      </w:r>
    </w:p>
    <w:p>
      <w:pPr>
        <w:spacing w:after="120" w:line="312"/>
      </w:pPr>
      <w:r>
        <w:t xml:space="preserve">두 항 모두 해지에 ‘상호 합의’를 요구하므로, 상대방이 협약을 어기더라도(예: 갑이 운영비 지원을 중단) 그 동의 없이는 을이 깔끔하게 이탈하기 어렵게 읽힌다. 통상은 상대방의 중대한 불이행이 있으면 비위반 당사자가 단독으로 해지할 수 있도록 한다. 또한 제1항은 ‘해지(중도 종료)’와 ‘만료(기간 종료)’를 한 문장에 섞어 두어 문언이 모호하다. 본 협약 대부분이 비구속이어서 실제 영향은 제한적이나, 문언 정비와 일방 해지권 확보 차원에서 보완을 권한다. 아울러 본문 말미의 따옴표 오기(있다.)는 단순 정리 사항이다.</w:t>
      </w:r>
    </w:p>
    <w:p>
      <w:pPr>
        <w:spacing w:after="60"/>
      </w:pPr>
      <w:r>
        <w:rPr>
          <w:b/>
          <w:bCs/>
        </w:rPr>
        <w:t xml:space="preserve">수정안 예시</w:t>
      </w:r>
    </w:p>
    <w:p>
      <w:pPr>
        <w:pBdr>
          <w:left w:val="single" w:color="2E75B6" w:sz="18" w:space="8"/>
        </w:pBdr>
        <w:shd w:fill="F2F2F2" w:val="clear"/>
        <w:spacing w:after="160" w:before="60" w:line="312"/>
        <w:ind w:left="360"/>
      </w:pPr>
      <w:r>
        <w:t xml:space="preserve">① 본 협약의 기간 연장은 만료일 전까지 양 기관의 상호 합의로 한다. ② 일방이 본 협약 내용의 변경 또는 중도 해지를 원하는 경우, 1개월 전까지 상대방에게 서면으로 통보하고 협의한다. ③ 일방이 본 협약상 의무를 중대하게 위반하거나 협약 목적에 반하는 행위를 한 경우, 상대방은 시정을 요구할 수 있고, 상당한 기간 내에 시정되지 아니하면 별도의 합의 없이도 본 협약을 해지할 수 있다.</w:t>
      </w:r>
    </w:p>
    <w:p>
      <w:pPr>
        <w:pStyle w:val="Heading1"/>
      </w:pPr>
      <w:r>
        <w:t xml:space="preserve">Ⅳ. 종합 권고사항 (우선순위順)</w:t>
      </w:r>
    </w:p>
    <w:p>
      <w:pPr>
        <w:pStyle w:val="ListParagraph"/>
        <w:numPr>
          <w:ilvl w:val="0"/>
          <w:numId w:val="2"/>
        </w:numPr>
        <w:spacing w:after="100" w:line="312"/>
      </w:pPr>
      <w:r>
        <w:t xml:space="preserve">개인정보 처리 관계 명확화: 시각장애인 인증정보(민감정보 해당 가능)의 처리 지위·책임 분담을 개인정보 보호법령에 따른 별도 계약으로 정한다는 점을 본문에 명시할 것.</w:t>
      </w:r>
    </w:p>
    <w:p>
      <w:pPr>
        <w:pStyle w:val="ListParagraph"/>
        <w:numPr>
          <w:ilvl w:val="0"/>
          <w:numId w:val="2"/>
        </w:numPr>
        <w:spacing w:after="100" w:line="312"/>
      </w:pPr>
      <w:r>
        <w:t xml:space="preserve">자산·지식재산권 귀속 안전장치: 을이 개발한 플랫폼·데이터 및 ‘뷰레이터’ 명칭의 권리가 ‘공동 운영’ 문언을 근거로 갑에게 자동 귀속되지 않음을 명시할 것.</w:t>
      </w:r>
    </w:p>
    <w:p>
      <w:pPr>
        <w:pStyle w:val="ListParagraph"/>
        <w:numPr>
          <w:ilvl w:val="0"/>
          <w:numId w:val="2"/>
        </w:numPr>
        <w:spacing w:after="100" w:line="312"/>
      </w:pPr>
      <w:r>
        <w:t xml:space="preserve">비밀유지 조항 정비: 비밀정보의 정의와 예외(특히 을의 독자 개발 정보 제외) 단서를 추가하고, 일반 정보의 비밀유지 기간을 한정(예: 종료 후 3년)할 것.</w:t>
      </w:r>
    </w:p>
    <w:p>
      <w:pPr>
        <w:pStyle w:val="ListParagraph"/>
        <w:numPr>
          <w:ilvl w:val="0"/>
          <w:numId w:val="2"/>
        </w:numPr>
        <w:spacing w:after="100" w:line="312"/>
      </w:pPr>
      <w:r>
        <w:t xml:space="preserve">선투자 순서 관리: 운영비·인증 API가 비구속인 점을 고려하여, 별도 합의 성립 전 대규모 선이행을 피하고, 갑의 약속 사항은 회의록 등으로 보존할 것.</w:t>
      </w:r>
    </w:p>
    <w:p>
      <w:pPr>
        <w:pStyle w:val="ListParagraph"/>
        <w:numPr>
          <w:ilvl w:val="0"/>
          <w:numId w:val="2"/>
        </w:numPr>
        <w:spacing w:after="100" w:line="312"/>
      </w:pPr>
      <w:r>
        <w:t xml:space="preserve">해지 조항 및 문언 정비: ‘만료’와 ‘해지’를 분리하고, 상대방의 중대한 위반 시 일방 해지권을 확보하며, 따옴표 오기 등 형식 오류를 정리할 것.</w:t>
      </w:r>
    </w:p>
    <w:p>
      <w:pPr>
        <w:pBdr>
          <w:top w:val="single" w:color="2E75B6" w:sz="6" w:space="4"/>
        </w:pBdr>
        <w:spacing w:after="60" w:before="200"/>
      </w:pPr>
      <w:r>
        <w:t xml:space="preserve"/>
      </w:r>
    </w:p>
    <w:p>
      <w:pPr>
        <w:spacing w:after="120" w:line="312"/>
      </w:pPr>
      <w:r>
        <w:rPr>
          <w:color w:val="555555"/>
          <w:sz w:val="20"/>
          <w:szCs w:val="20"/>
        </w:rPr>
        <w:t xml:space="preserve">※ 본 의견서는 제시된 초안 문언만을 대상으로 한 일반적 검토이며, 구체적 사실관계·후속 본계약의 설계에 따라 결론이 달라질 수 있다. 후속 본계약 단계에서는 준거법·관할·분쟁해결, 손해배상·면책, 독점 여부 및 위 개인정보·지식재산권 계약을 별도로 정비할 것을 권한다.</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 </w:t>
      <w:fldChar w:fldCharType="begin"/>
      <w:instrText xml:space="preserve">PAGE</w:instrText>
      <w:fldChar w:fldCharType="separate"/>
      <w:fldChar w:fldCharType="end"/>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BBBBBB" w:sz="4" w:space="4"/>
      </w:pBdr>
      <w:spacing w:after="160" w:before="280"/>
      <w:outlineLvl w:val="0"/>
    </w:pPr>
    <w:rPr>
      <w:rFonts w:ascii="맑은 고딕" w:cs="맑은 고딕" w:eastAsia="맑은 고딕" w:hAnsi="맑은 고딕"/>
      <w:b/>
      <w:bCs/>
      <w:color w:val="1F3864"/>
      <w:sz w:val="30"/>
      <w:szCs w:val="30"/>
    </w:rPr>
  </w:style>
  <w:style w:type="paragraph" w:styleId="Heading2">
    <w:name w:val="Heading 2"/>
    <w:basedOn w:val="Normal"/>
    <w:next w:val="Normal"/>
    <w:qFormat/>
    <w:pPr>
      <w:spacing w:after="120" w:before="220"/>
      <w:outlineLvl w:val="1"/>
    </w:pPr>
    <w:rPr>
      <w:rFonts w:ascii="맑은 고딕" w:cs="맑은 고딕" w:eastAsia="맑은 고딕" w:hAnsi="맑은 고딕"/>
      <w:b/>
      <w:bCs/>
      <w:color w:val="2E549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2026-06-18T08:33:39.061Z</dcterms:created>
  <dcterms:modified xsi:type="dcterms:W3CDTF">2026-06-18T08:33:39.061Z</dcterms:modified>
</cp:coreProperties>
</file>

<file path=docProps/custom.xml><?xml version="1.0" encoding="utf-8"?>
<Properties xmlns="http://schemas.openxmlformats.org/officeDocument/2006/custom-properties" xmlns:vt="http://schemas.openxmlformats.org/officeDocument/2006/docPropsVTypes"/>
</file>