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1A1A1A"/>
          <w:sz w:val="32"/>
        </w:rPr>
        <w:t>月會進度自檢表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555555"/>
          <w:sz w:val="18"/>
        </w:rPr>
        <w:t>113 年度校園行政業務月會進度報告（示範素材）｜月會前逐項自我檢核用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A03A30"/>
          <w:sz w:val="18"/>
        </w:rPr>
        <w:t>本簡報為自主學習練習自擬之示範素材，非任何機關之實際資料，數字均為虛構，不可對外引用。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1474"/>
            <w:shd w:val="clear" w:color="auto" w:fill="E8E4DC"/>
          </w:tcPr>
          <w:p>
            <w:r/>
            <w:r>
              <w:rPr>
                <w:rFonts w:ascii="Noto Sans CJK TC" w:hAnsi="Noto Sans CJK TC" w:eastAsia="Noto Sans CJK TC"/>
                <w:b/>
                <w:color w:val="1A1A1A"/>
                <w:sz w:val="20"/>
              </w:rPr>
              <w:t>欄位</w:t>
            </w:r>
          </w:p>
        </w:tc>
        <w:tc>
          <w:tcPr>
            <w:tcW w:type="dxa" w:w="4195"/>
            <w:shd w:val="clear" w:color="auto" w:fill="E8E4DC"/>
          </w:tcPr>
          <w:p>
            <w:r/>
            <w:r>
              <w:rPr>
                <w:rFonts w:ascii="Noto Sans CJK TC" w:hAnsi="Noto Sans CJK TC" w:eastAsia="Noto Sans CJK TC"/>
                <w:b/>
                <w:color w:val="1A1A1A"/>
                <w:sz w:val="20"/>
              </w:rPr>
              <w:t>檢核項目</w:t>
            </w:r>
          </w:p>
        </w:tc>
        <w:tc>
          <w:tcPr>
            <w:tcW w:type="dxa" w:w="4479"/>
            <w:shd w:val="clear" w:color="auto" w:fill="E8E4DC"/>
          </w:tcPr>
          <w:p>
            <w:r/>
            <w:r>
              <w:rPr>
                <w:rFonts w:ascii="Noto Sans CJK TC" w:hAnsi="Noto Sans CJK TC" w:eastAsia="Noto Sans CJK TC"/>
                <w:b/>
                <w:color w:val="1A1A1A"/>
                <w:sz w:val="20"/>
              </w:rPr>
              <w:t>通過標準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封面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決定句是否含金額、方式、期限三個錨點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金額＝650 元、方式＝覈實後續用 或 另行籌措、期限＝11 月月會</w:t>
            </w:r>
          </w:p>
        </w:tc>
      </w:tr>
      <w:tr>
        <w:tc>
          <w:tcPr>
            <w:tcW w:type="dxa" w:w="1474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封面</w:t>
            </w:r>
          </w:p>
        </w:tc>
        <w:tc>
          <w:tcPr>
            <w:tcW w:type="dxa" w:w="4195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每張數字卡是否標明該數字的角色</w:t>
            </w:r>
          </w:p>
        </w:tc>
        <w:tc>
          <w:tcPr>
            <w:tcW w:type="dxa" w:w="4479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實績／建議值／預估三種角色標示皆出現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封面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建議值是否被誤寫成核定目標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全文無「核定目標」「正式目標」寫法；11 月 200 件標示為建議值</w:t>
            </w:r>
          </w:p>
        </w:tc>
      </w:tr>
      <w:tr>
        <w:tc>
          <w:tcPr>
            <w:tcW w:type="dxa" w:w="1474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進度總覽</w:t>
            </w:r>
          </w:p>
        </w:tc>
        <w:tc>
          <w:tcPr>
            <w:tcW w:type="dxa" w:w="4195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被相減的兩個數字是否同一基準</w:t>
            </w:r>
          </w:p>
        </w:tc>
        <w:tc>
          <w:tcPr>
            <w:tcW w:type="dxa" w:w="4479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9 月 171 件與 10 月 186 件皆為實績；11 月建議值未被拿來相減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進度總覽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達成率是否標明分母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93.0% 的分母為 200 件建議值</w:t>
            </w:r>
          </w:p>
        </w:tc>
      </w:tr>
      <w:tr>
        <w:tc>
          <w:tcPr>
            <w:tcW w:type="dxa" w:w="1474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落後項目</w:t>
            </w:r>
          </w:p>
        </w:tc>
        <w:tc>
          <w:tcPr>
            <w:tcW w:type="dxa" w:w="4195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原因是否來自原稿而非推測</w:t>
            </w:r>
          </w:p>
        </w:tc>
        <w:tc>
          <w:tcPr>
            <w:tcW w:type="dxa" w:w="4479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採購案退件為原稿載明；收文 8 件標明原稿未載明原因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落後項目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基準不同者是否排除於同框比較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其他事務（10 月含一次性作業 12 件）未納入尚差件數圖</w:t>
            </w:r>
          </w:p>
        </w:tc>
      </w:tr>
      <w:tr>
        <w:tc>
          <w:tcPr>
            <w:tcW w:type="dxa" w:w="1474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落後項目</w:t>
            </w:r>
          </w:p>
        </w:tc>
        <w:tc>
          <w:tcPr>
            <w:tcW w:type="dxa" w:w="4195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門檻與天花板是否分開表述</w:t>
            </w:r>
          </w:p>
        </w:tc>
        <w:tc>
          <w:tcPr>
            <w:tcW w:type="dxa" w:w="4479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法定檢查＝下限門檻（尚缺 1 次）；年度預算＝上限天花板（剩餘 5,350 元）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風險與待確認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聚合指標是否標明未分解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滿意度 92.4% 標明未逐項調查、不代表各業務項目個別滿意度</w:t>
            </w:r>
          </w:p>
        </w:tc>
      </w:tr>
      <w:tr>
        <w:tc>
          <w:tcPr>
            <w:tcW w:type="dxa" w:w="1474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風險與待確認</w:t>
            </w:r>
          </w:p>
        </w:tc>
        <w:tc>
          <w:tcPr>
            <w:tcW w:type="dxa" w:w="4195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待確認事項是否附主責與期限</w:t>
            </w:r>
          </w:p>
        </w:tc>
        <w:tc>
          <w:tcPr>
            <w:tcW w:type="dxa" w:w="4479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3 項待確認皆附主責：總務處 及期限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請示頁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決策後果是否寫成條件式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有核准後續辦條件式說明，無「核准即一定續辦」等絕對結果</w:t>
            </w:r>
          </w:p>
        </w:tc>
      </w:tr>
      <w:tr>
        <w:tc>
          <w:tcPr>
            <w:tcW w:type="dxa" w:w="1474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請示頁</w:t>
            </w:r>
          </w:p>
        </w:tc>
        <w:tc>
          <w:tcPr>
            <w:tcW w:type="dxa" w:w="4195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附件宣稱與實體是否一致</w:t>
            </w:r>
          </w:p>
        </w:tc>
        <w:tc>
          <w:tcPr>
            <w:tcW w:type="dxa" w:w="4479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本表（月會進度自檢表）已隨簡報交付，3 欄 A4 可列印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附錄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每個數字是否標明基準角色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實績／建議值／預估／未知四類角色皆已標示；未知項不填數字</w:t>
            </w:r>
          </w:p>
        </w:tc>
      </w:tr>
      <w:tr>
        <w:tc>
          <w:tcPr>
            <w:tcW w:type="dxa" w:w="1474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全份</w:t>
            </w:r>
          </w:p>
        </w:tc>
        <w:tc>
          <w:tcPr>
            <w:tcW w:type="dxa" w:w="4195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頁碼引用是否已清除</w:t>
            </w:r>
          </w:p>
        </w:tc>
        <w:tc>
          <w:tcPr>
            <w:tcW w:type="dxa" w:w="4479"/>
            <w:shd w:val="clear" w:color="auto" w:fill="F7F6F3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備註與內文無「第 N 頁」等頁序引用，一律引用圖名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全份</w:t>
            </w:r>
          </w:p>
        </w:tc>
        <w:tc>
          <w:tcPr>
            <w:tcW w:type="dxa" w:w="4195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數字是否可回溯至原稿</w:t>
            </w:r>
          </w:p>
        </w:tc>
        <w:tc>
          <w:tcPr>
            <w:tcW w:type="dxa" w:w="4479"/>
          </w:tcPr>
          <w:p>
            <w:r/>
            <w:r>
              <w:rPr>
                <w:rFonts w:ascii="Noto Sans CJK TC" w:hAnsi="Noto Sans CJK TC" w:eastAsia="Noto Sans CJK TC"/>
                <w:b w:val="0"/>
                <w:color w:val="1A1A1A"/>
                <w:sz w:val="18"/>
              </w:rPr>
              <w:t>全部數字 token 可追至月報原稿或回算式；共 32 個對外數值已登記角色</w:t>
            </w:r>
          </w:p>
        </w:tc>
      </w:tr>
    </w:tbl>
    <w:p/>
    <w:p>
      <w:r>
        <w:rPr>
          <w:rFonts w:ascii="Noto Sans CJK TC" w:hAnsi="Noto Sans CJK TC" w:eastAsia="Noto Sans CJK TC"/>
          <w:b/>
          <w:color w:val="1A1A1A"/>
          <w:sz w:val="20"/>
        </w:rPr>
        <w:t>檢核結果（請填）：</w:t>
      </w:r>
    </w:p>
    <w:p>
      <w:r>
        <w:rPr>
          <w:rFonts w:ascii="Noto Sans CJK TC" w:hAnsi="Noto Sans CJK TC" w:eastAsia="Noto Sans CJK TC"/>
          <w:b w:val="0"/>
          <w:color w:val="1A1A1A"/>
          <w:sz w:val="20"/>
        </w:rPr>
        <w:t>全部通過 ☐　　有修正項目 ☐（說明：　　　　　　　　　　　　　　）　　未檢核 ☐</w:t>
      </w:r>
    </w:p>
    <w:p>
      <w:r>
        <w:rPr>
          <w:rFonts w:ascii="Noto Sans CJK TC" w:hAnsi="Noto Sans CJK TC" w:eastAsia="Noto Sans CJK TC"/>
          <w:b w:val="0"/>
          <w:color w:val="1A1A1A"/>
          <w:sz w:val="20"/>
        </w:rPr>
        <w:t>檢核人：　　　　　　　　　　日期：113 年 　　 月 　　 日</w:t>
      </w:r>
    </w:p>
    <w:sectPr w:rsidR="00FC693F" w:rsidRPr="0006063C" w:rsidSect="00034616">
      <w:pgSz w:w="11906" w:h="16838"/>
      <w:pgMar w:top="90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