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rPr>
          <w:rFonts w:hint="eastAsia"/>
          <w:lang w:val="en-US" w:eastAsia="zh-CN"/>
        </w:rPr>
      </w:pPr>
    </w:p>
    <w:p>
      <w:pPr>
        <w:bidi w:val="0"/>
        <w:rPr>
          <w:rFonts w:hint="eastAsia"/>
          <w:lang w:val="en-US" w:eastAsia="zh-CN"/>
        </w:rPr>
      </w:pPr>
      <w:r>
        <w:rPr>
          <w:rFonts w:hint="eastAsia"/>
          <w:lang w:val="en-US" w:eastAsia="zh-CN"/>
        </w:rPr>
        <w:drawing>
          <wp:inline distT="0" distB="0" distL="114300" distR="114300">
            <wp:extent cx="5257800" cy="7010400"/>
            <wp:effectExtent l="0" t="0" r="0" b="0"/>
            <wp:docPr id="3" name="图片 3" descr="61bd1aec513cb2af9adc9208fb8c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1bd1aec513cb2af9adc9208fb8c38b"/>
                    <pic:cNvPicPr>
                      <a:picLocks noChangeAspect="1"/>
                    </pic:cNvPicPr>
                  </pic:nvPicPr>
                  <pic:blipFill>
                    <a:blip r:embed="rId4"/>
                    <a:stretch>
                      <a:fillRect/>
                    </a:stretch>
                  </pic:blipFill>
                  <pic:spPr>
                    <a:xfrm>
                      <a:off x="0" y="0"/>
                      <a:ext cx="5257800" cy="7010400"/>
                    </a:xfrm>
                    <a:prstGeom prst="rect">
                      <a:avLst/>
                    </a:prstGeom>
                  </pic:spPr>
                </pic:pic>
              </a:graphicData>
            </a:graphic>
          </wp:inline>
        </w:drawing>
      </w:r>
    </w:p>
    <w:p>
      <w:pPr>
        <w:bidi w:val="0"/>
        <w:rPr>
          <w:rFonts w:hint="eastAsia"/>
          <w:lang w:val="en-US" w:eastAsia="zh-CN"/>
        </w:rPr>
      </w:pPr>
      <w:r>
        <w:rPr>
          <w:rFonts w:hint="eastAsia"/>
          <w:lang w:val="en-US" w:eastAsia="zh-CN"/>
        </w:rPr>
        <w:drawing>
          <wp:inline distT="0" distB="0" distL="114300" distR="114300">
            <wp:extent cx="5257800" cy="7010400"/>
            <wp:effectExtent l="0" t="0" r="0" b="0"/>
            <wp:docPr id="4" name="图片 4" descr="7fbd5e84ef4077c4f87d19c3faf0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fbd5e84ef4077c4f87d19c3faf0e14"/>
                    <pic:cNvPicPr>
                      <a:picLocks noChangeAspect="1"/>
                    </pic:cNvPicPr>
                  </pic:nvPicPr>
                  <pic:blipFill>
                    <a:blip r:embed="rId5"/>
                    <a:stretch>
                      <a:fillRect/>
                    </a:stretch>
                  </pic:blipFill>
                  <pic:spPr>
                    <a:xfrm>
                      <a:off x="0" y="0"/>
                      <a:ext cx="5257800" cy="7010400"/>
                    </a:xfrm>
                    <a:prstGeom prst="rect">
                      <a:avLst/>
                    </a:prstGeom>
                  </pic:spPr>
                </pic:pic>
              </a:graphicData>
            </a:graphic>
          </wp:inline>
        </w:drawing>
      </w:r>
    </w:p>
    <w:p>
      <w:pPr>
        <w:bidi w:val="0"/>
        <w:rPr>
          <w:rFonts w:hint="eastAsia"/>
          <w:lang w:val="en-US" w:eastAsia="zh-CN"/>
        </w:rPr>
      </w:pPr>
      <w:r>
        <w:rPr>
          <w:rFonts w:hint="eastAsia"/>
          <w:lang w:val="en-US" w:eastAsia="zh-CN"/>
        </w:rPr>
        <w:drawing>
          <wp:inline distT="0" distB="0" distL="114300" distR="114300">
            <wp:extent cx="5232400" cy="3924300"/>
            <wp:effectExtent l="0" t="0" r="0" b="0"/>
            <wp:docPr id="5" name="图片 5" descr="042d9d3af807975b6c3adfbdd873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42d9d3af807975b6c3adfbdd873fcf"/>
                    <pic:cNvPicPr>
                      <a:picLocks noChangeAspect="1"/>
                    </pic:cNvPicPr>
                  </pic:nvPicPr>
                  <pic:blipFill>
                    <a:blip r:embed="rId6"/>
                    <a:stretch>
                      <a:fillRect/>
                    </a:stretch>
                  </pic:blipFill>
                  <pic:spPr>
                    <a:xfrm rot="16200000" flipH="1" flipV="1">
                      <a:off x="0" y="0"/>
                      <a:ext cx="5232400" cy="3924300"/>
                    </a:xfrm>
                    <a:prstGeom prst="rect">
                      <a:avLst/>
                    </a:prstGeom>
                  </pic:spPr>
                </pic:pic>
              </a:graphicData>
            </a:graphic>
          </wp:inline>
        </w:drawing>
      </w:r>
    </w:p>
    <w:p>
      <w:pPr>
        <w:bidi w:val="0"/>
        <w:rPr>
          <w:rFonts w:hint="eastAsia"/>
          <w:lang w:val="en-US" w:eastAsia="zh-CN"/>
        </w:rPr>
      </w:pPr>
      <w:r>
        <w:rPr>
          <w:rFonts w:hint="eastAsia"/>
          <w:lang w:val="en-US" w:eastAsia="zh-CN"/>
        </w:rPr>
        <w:drawing>
          <wp:inline distT="0" distB="0" distL="114300" distR="114300">
            <wp:extent cx="5232400" cy="3924300"/>
            <wp:effectExtent l="0" t="0" r="0" b="0"/>
            <wp:docPr id="6" name="图片 6" descr="214ba21d3860cfd8e1397a83a15d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14ba21d3860cfd8e1397a83a15d18a"/>
                    <pic:cNvPicPr>
                      <a:picLocks noChangeAspect="1"/>
                    </pic:cNvPicPr>
                  </pic:nvPicPr>
                  <pic:blipFill>
                    <a:blip r:embed="rId7"/>
                    <a:stretch>
                      <a:fillRect/>
                    </a:stretch>
                  </pic:blipFill>
                  <pic:spPr>
                    <a:xfrm rot="5400000">
                      <a:off x="0" y="0"/>
                      <a:ext cx="5232400" cy="3924300"/>
                    </a:xfrm>
                    <a:prstGeom prst="rect">
                      <a:avLst/>
                    </a:prstGeom>
                  </pic:spPr>
                </pic:pic>
              </a:graphicData>
            </a:graphic>
          </wp:inline>
        </w:drawing>
      </w:r>
    </w:p>
    <w:p>
      <w:pPr>
        <w:bidi w:val="0"/>
        <w:rPr>
          <w:rFonts w:hint="eastAsia"/>
          <w:lang w:val="en-US" w:eastAsia="zh-CN"/>
        </w:rPr>
      </w:pPr>
      <w:r>
        <w:rPr>
          <w:rFonts w:hint="eastAsia"/>
          <w:lang w:val="en-US" w:eastAsia="zh-CN"/>
        </w:rPr>
        <w:drawing>
          <wp:inline distT="0" distB="0" distL="114300" distR="114300">
            <wp:extent cx="3984625" cy="8854440"/>
            <wp:effectExtent l="0" t="0" r="3175" b="10160"/>
            <wp:docPr id="7" name="图片 7" descr="c90fc6257894a790ca17bb2e5368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90fc6257894a790ca17bb2e5368f65"/>
                    <pic:cNvPicPr>
                      <a:picLocks noChangeAspect="1"/>
                    </pic:cNvPicPr>
                  </pic:nvPicPr>
                  <pic:blipFill>
                    <a:blip r:embed="rId8"/>
                    <a:stretch>
                      <a:fillRect/>
                    </a:stretch>
                  </pic:blipFill>
                  <pic:spPr>
                    <a:xfrm>
                      <a:off x="0" y="0"/>
                      <a:ext cx="3984625" cy="8854440"/>
                    </a:xfrm>
                    <a:prstGeom prst="rect">
                      <a:avLst/>
                    </a:prstGeom>
                  </pic:spPr>
                </pic:pic>
              </a:graphicData>
            </a:graphic>
          </wp:inline>
        </w:drawing>
      </w:r>
    </w:p>
    <w:p>
      <w:pPr>
        <w:pStyle w:val="2"/>
        <w:numPr>
          <w:numId w:val="0"/>
        </w:numPr>
        <w:bidi w:val="0"/>
        <w:rPr>
          <w:rFonts w:hint="eastAsia"/>
          <w:lang w:val="en-US" w:eastAsia="zh-CN"/>
        </w:rPr>
      </w:pPr>
      <w:r>
        <w:rPr>
          <w:rFonts w:hint="eastAsia"/>
          <w:lang w:val="en-US" w:eastAsia="zh-CN"/>
        </w:rPr>
        <w:t>四．简答</w:t>
      </w:r>
    </w:p>
    <w:p>
      <w:pPr>
        <w:numPr>
          <w:ilvl w:val="0"/>
          <w:numId w:val="1"/>
        </w:numPr>
        <w:rPr>
          <w:rFonts w:hint="eastAsia"/>
          <w:lang w:val="en-US" w:eastAsia="zh-CN"/>
        </w:rPr>
      </w:pPr>
      <w:r>
        <w:rPr>
          <w:rFonts w:hint="eastAsia"/>
          <w:lang w:val="en-US" w:eastAsia="zh-CN"/>
        </w:rPr>
        <w:t>政府为了平衡财政预算赤字,采取发行政府债券的方式,向私人借贷资金市场筹措资金,从而导致市场利率上升,私人投资和支出因而相应地下降。</w:t>
      </w:r>
    </w:p>
    <w:p>
      <w:pPr>
        <w:numPr>
          <w:numId w:val="0"/>
        </w:numPr>
        <w:rPr>
          <w:rFonts w:hint="eastAsia"/>
          <w:lang w:val="en-US" w:eastAsia="zh-CN"/>
        </w:rPr>
      </w:pPr>
      <w:r>
        <w:rPr>
          <w:rFonts w:hint="eastAsia"/>
          <w:lang w:val="en-US" w:eastAsia="zh-CN"/>
        </w:rPr>
        <w:t>这就是公共支出造成的财政赤字对私人投资和支出的挤出效应。</w:t>
      </w:r>
    </w:p>
    <w:p>
      <w:pPr>
        <w:numPr>
          <w:numId w:val="0"/>
        </w:numPr>
        <w:rPr>
          <w:rFonts w:hint="eastAsia"/>
          <w:lang w:val="en-US" w:eastAsia="zh-CN"/>
        </w:rPr>
      </w:pPr>
    </w:p>
    <w:p>
      <w:pPr>
        <w:numPr>
          <w:ilvl w:val="0"/>
          <w:numId w:val="1"/>
        </w:numPr>
        <w:ind w:left="0" w:leftChars="0" w:firstLine="0" w:firstLineChars="0"/>
        <w:rPr>
          <w:rFonts w:hint="eastAsia"/>
          <w:lang w:val="en-US" w:eastAsia="zh-CN"/>
        </w:rPr>
      </w:pPr>
      <w:r>
        <w:rPr>
          <w:rFonts w:hint="eastAsia"/>
          <w:lang w:val="en-US" w:eastAsia="zh-CN"/>
        </w:rPr>
        <w:t>梯度渐进增长理论是指，在正常时候，财政支出是呈渐进上升趋势的，在战争或重大灾害时，财政支出急剧增加，而后支出有所下降，但一般不会回到原来的水平，呈现出一种“退二进一”的效果。</w:t>
      </w:r>
    </w:p>
    <w:p>
      <w:pPr>
        <w:widowControl w:val="0"/>
        <w:numPr>
          <w:numId w:val="0"/>
        </w:numPr>
        <w:jc w:val="both"/>
        <w:rPr>
          <w:rFonts w:hint="default"/>
          <w:lang w:val="en-US" w:eastAsia="zh-CN"/>
        </w:rPr>
      </w:pPr>
    </w:p>
    <w:p>
      <w:pPr>
        <w:widowControl w:val="0"/>
        <w:numPr>
          <w:ilvl w:val="0"/>
          <w:numId w:val="1"/>
        </w:numPr>
        <w:ind w:left="0" w:leftChars="0" w:firstLine="0" w:firstLineChars="0"/>
        <w:jc w:val="both"/>
        <w:rPr>
          <w:rFonts w:hint="default"/>
          <w:lang w:val="en-US" w:eastAsia="zh-CN"/>
        </w:rPr>
      </w:pPr>
      <w:r>
        <w:rPr>
          <w:rFonts w:hint="eastAsia"/>
          <w:lang w:val="en-US" w:eastAsia="zh-CN"/>
        </w:rPr>
        <w:t>自动稳定的财政政策指这种政策本身具有内在的调节功能，能够根据经济波动情况，无需借助外力而自动地发挥稳定作用。</w:t>
      </w:r>
    </w:p>
    <w:p>
      <w:pPr>
        <w:widowControl w:val="0"/>
        <w:numPr>
          <w:numId w:val="0"/>
        </w:numPr>
        <w:ind w:leftChars="0"/>
        <w:jc w:val="both"/>
        <w:rPr>
          <w:rFonts w:hint="eastAsia"/>
          <w:lang w:val="en-US" w:eastAsia="zh-CN"/>
        </w:rPr>
      </w:pPr>
      <w:r>
        <w:rPr>
          <w:rFonts w:hint="eastAsia"/>
          <w:lang w:val="en-US" w:eastAsia="zh-CN"/>
        </w:rPr>
        <w:t>比如，当国民经济出现衰退时,就会有一大批居民享有失业救济金和低保收入,从而可以使总需求不至于骤然下降;当经济繁荣来临时,失业者可重新获得工作机会,政府就可以停止事业救济和低保支出,从而可以抑制总需求的过旺。</w:t>
      </w:r>
    </w:p>
    <w:p>
      <w:pPr>
        <w:widowControl w:val="0"/>
        <w:numPr>
          <w:numId w:val="0"/>
        </w:numPr>
        <w:ind w:leftChars="0"/>
        <w:jc w:val="both"/>
        <w:rPr>
          <w:rFonts w:hint="eastAsia"/>
          <w:lang w:val="en-US" w:eastAsia="zh-CN"/>
        </w:rPr>
      </w:pPr>
    </w:p>
    <w:p>
      <w:pPr>
        <w:widowControl w:val="0"/>
        <w:numPr>
          <w:numId w:val="0"/>
        </w:numPr>
        <w:ind w:leftChars="0"/>
        <w:jc w:val="both"/>
        <w:rPr>
          <w:rFonts w:hint="default"/>
          <w:lang w:val="en-US" w:eastAsia="zh-CN"/>
        </w:rPr>
      </w:pPr>
      <w:r>
        <w:rPr>
          <w:rFonts w:hint="eastAsia"/>
          <w:lang w:val="en-US" w:eastAsia="zh-CN"/>
        </w:rPr>
        <w:t>4.税收对劳动供给的收入效应和替代效应：税收对劳动供给的收入效应是指征税后减少了个人可支配收入，促使其为维持既定的收入水平和消费水平，而减少或放弃闲暇，增加工作时间。税收对劳动供给的替代效应是指征税后提高了闲暇的价格，使得个人在工作和闲暇之间的选择更倾向于后者。</w:t>
      </w:r>
    </w:p>
    <w:p>
      <w:pPr>
        <w:widowControl w:val="0"/>
        <w:numPr>
          <w:numId w:val="0"/>
        </w:numPr>
        <w:ind w:leftChars="0"/>
        <w:jc w:val="both"/>
        <w:rPr>
          <w:rFonts w:hint="eastAsia"/>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蒂布特模型是1956年查尔斯·蒂布特建立的一个地方公共产品供给模型，他分析了在公共部门存在的条件下，各级政府提供公共产品的最佳效益问题，他认为，各个地方政府之间的相互“竞争”，也会促使其更有效地提供人们所需要的公共产品和服务。这就是所谓“蒂布特模型”的基本内涵。</w:t>
      </w:r>
    </w:p>
    <w:p>
      <w:pPr>
        <w:pStyle w:val="2"/>
        <w:numPr>
          <w:numId w:val="0"/>
        </w:numPr>
        <w:bidi w:val="0"/>
        <w:rPr>
          <w:rFonts w:hint="eastAsia"/>
          <w:lang w:val="en-US" w:eastAsia="zh-CN"/>
        </w:rPr>
      </w:pPr>
      <w:r>
        <w:rPr>
          <w:rFonts w:hint="eastAsia"/>
          <w:lang w:val="en-US" w:eastAsia="zh-CN"/>
        </w:rPr>
        <w:t>五．论述</w:t>
      </w:r>
    </w:p>
    <w:p>
      <w:pPr>
        <w:widowControl w:val="0"/>
        <w:numPr>
          <w:numId w:val="0"/>
        </w:numPr>
        <w:ind w:leftChars="0"/>
        <w:jc w:val="both"/>
        <w:rPr>
          <w:rFonts w:hint="eastAsia"/>
          <w:lang w:val="en-US" w:eastAsia="zh-CN"/>
        </w:rPr>
      </w:pPr>
      <w:r>
        <w:rPr>
          <w:rFonts w:hint="eastAsia"/>
          <w:lang w:val="en-US" w:eastAsia="zh-CN"/>
        </w:rPr>
        <w:t>1.政府介入社会保障管理的理由:</w:t>
      </w:r>
    </w:p>
    <w:p>
      <w:pPr>
        <w:widowControl w:val="0"/>
        <w:numPr>
          <w:numId w:val="0"/>
        </w:numPr>
        <w:ind w:leftChars="0" w:firstLine="420" w:firstLineChars="0"/>
        <w:jc w:val="both"/>
        <w:rPr>
          <w:rFonts w:hint="eastAsia"/>
          <w:lang w:val="en-US" w:eastAsia="zh-CN"/>
        </w:rPr>
      </w:pPr>
      <w:r>
        <w:rPr>
          <w:rFonts w:hint="eastAsia"/>
          <w:lang w:val="en-US" w:eastAsia="zh-CN"/>
        </w:rPr>
        <w:t>第一，市场失灵即市场无法有效率地分配商品和劳务的情况。</w:t>
      </w:r>
    </w:p>
    <w:p>
      <w:pPr>
        <w:widowControl w:val="0"/>
        <w:numPr>
          <w:numId w:val="0"/>
        </w:numPr>
        <w:ind w:leftChars="0" w:firstLine="420" w:firstLineChars="0"/>
        <w:jc w:val="both"/>
        <w:rPr>
          <w:rFonts w:hint="eastAsia"/>
          <w:lang w:val="en-US" w:eastAsia="zh-CN"/>
        </w:rPr>
      </w:pPr>
      <w:r>
        <w:rPr>
          <w:rFonts w:hint="eastAsia"/>
          <w:lang w:val="en-US" w:eastAsia="zh-CN"/>
        </w:rPr>
        <w:t>例如,在短视、逆向选择、风险集中和正的外部性等情况下，个人可能无法通过储蓄和商业保险等市场手段获得足够的生活保障,需要由政府通过社会救助、社会保险和社会福利等形式来提供保障。</w:t>
      </w:r>
    </w:p>
    <w:p>
      <w:pPr>
        <w:widowControl w:val="0"/>
        <w:numPr>
          <w:numId w:val="0"/>
        </w:numPr>
        <w:ind w:leftChars="0" w:firstLine="420" w:firstLineChars="0"/>
        <w:jc w:val="both"/>
        <w:rPr>
          <w:rFonts w:hint="eastAsia"/>
          <w:lang w:val="en-US" w:eastAsia="zh-CN"/>
        </w:rPr>
      </w:pPr>
      <w:r>
        <w:rPr>
          <w:rFonts w:hint="eastAsia"/>
          <w:lang w:val="en-US" w:eastAsia="zh-CN"/>
        </w:rPr>
        <w:t>第二,社会保障的社会性和强制性。社会保障要在全社会范围内进行广泛地国民收入再分配离开政府的强制性这是很难做到的。</w:t>
      </w:r>
    </w:p>
    <w:p>
      <w:pPr>
        <w:widowControl w:val="0"/>
        <w:numPr>
          <w:numId w:val="0"/>
        </w:numPr>
        <w:ind w:leftChars="0" w:firstLine="420" w:firstLineChars="0"/>
        <w:jc w:val="both"/>
        <w:rPr>
          <w:rFonts w:hint="eastAsia"/>
          <w:lang w:val="en-US" w:eastAsia="zh-CN"/>
        </w:rPr>
      </w:pPr>
      <w:r>
        <w:rPr>
          <w:rFonts w:hint="eastAsia"/>
          <w:lang w:val="en-US" w:eastAsia="zh-CN"/>
        </w:rPr>
        <w:t>第三,政府的公信力。相对于私人机构,人们更愿意相信政府是公正的、为国民整体利益服务的,人们更愿意委托政府来将他们的纳税或所缴纳社会保险费转移支付给社会脆弱群体。</w:t>
      </w:r>
    </w:p>
    <w:p>
      <w:pPr>
        <w:widowControl w:val="0"/>
        <w:numPr>
          <w:numId w:val="0"/>
        </w:numPr>
        <w:jc w:val="both"/>
        <w:rPr>
          <w:rFonts w:hint="eastAsia"/>
          <w:lang w:val="en-US" w:eastAsia="zh-CN"/>
        </w:rPr>
      </w:pPr>
    </w:p>
    <w:p>
      <w:pPr>
        <w:widowControl w:val="0"/>
        <w:numPr>
          <w:numId w:val="0"/>
        </w:numPr>
        <w:ind w:leftChars="0"/>
        <w:jc w:val="both"/>
        <w:rPr>
          <w:rFonts w:hint="eastAsia"/>
          <w:lang w:val="en-US" w:eastAsia="zh-CN"/>
        </w:rPr>
      </w:pPr>
      <w:r>
        <w:rPr>
          <w:rFonts w:hint="eastAsia"/>
          <w:lang w:val="en-US" w:eastAsia="zh-CN"/>
        </w:rPr>
        <w:t>2.我国税制认为，税收公平是指不同纳税人之间税收负担程度的比较：纳税人条件相同的纳同样的税条件不同的纳不同的税。</w:t>
      </w:r>
    </w:p>
    <w:p>
      <w:pPr>
        <w:widowControl w:val="0"/>
        <w:numPr>
          <w:numId w:val="0"/>
        </w:numPr>
        <w:ind w:leftChars="0"/>
        <w:jc w:val="both"/>
        <w:rPr>
          <w:rFonts w:hint="eastAsia"/>
          <w:lang w:val="en-US" w:eastAsia="zh-CN"/>
        </w:rPr>
      </w:pPr>
      <w:r>
        <w:rPr>
          <w:rFonts w:hint="eastAsia"/>
          <w:lang w:val="en-US" w:eastAsia="zh-CN"/>
        </w:rPr>
        <w:t>税收公平包括:(1)公平的受益原则:指纳税人的负担取决于其在政府支出中的受益情况</w:t>
      </w:r>
    </w:p>
    <w:p>
      <w:pPr>
        <w:widowControl w:val="0"/>
        <w:numPr>
          <w:numId w:val="0"/>
        </w:numPr>
        <w:ind w:leftChars="0"/>
        <w:jc w:val="both"/>
        <w:rPr>
          <w:rFonts w:hint="eastAsia"/>
          <w:lang w:val="en-US" w:eastAsia="zh-CN"/>
        </w:rPr>
      </w:pPr>
      <w:r>
        <w:rPr>
          <w:rFonts w:hint="eastAsia"/>
          <w:lang w:val="en-US" w:eastAsia="zh-CN"/>
        </w:rPr>
        <w:t>(2)公平的支付能力原则:指纳税人的负担取决于其缴纳税收的能力。包括横向公平(纳税能力相同者缴纳相同的税收)和纵向公平(纳税能力较高者缴纳较多的税收)</w:t>
      </w:r>
    </w:p>
    <w:p>
      <w:pPr>
        <w:widowControl w:val="0"/>
        <w:numPr>
          <w:numId w:val="0"/>
        </w:numPr>
        <w:ind w:firstLine="420" w:firstLineChars="0"/>
        <w:jc w:val="both"/>
        <w:rPr>
          <w:rFonts w:hint="eastAsia"/>
          <w:lang w:val="en-US" w:eastAsia="zh-CN"/>
        </w:rPr>
      </w:pPr>
      <w:r>
        <w:rPr>
          <w:rFonts w:hint="eastAsia"/>
          <w:lang w:val="en-US" w:eastAsia="zh-CN"/>
        </w:rPr>
        <w:t>如何实现:(1)实现横向公平:为使所得税实现横向公平,应尽可能将应税收入界定得宽一些。税基宽的商品税收有助于实现横向公平。</w:t>
      </w:r>
    </w:p>
    <w:p>
      <w:pPr>
        <w:widowControl w:val="0"/>
        <w:numPr>
          <w:ilvl w:val="0"/>
          <w:numId w:val="2"/>
        </w:numPr>
        <w:ind w:firstLine="420" w:firstLineChars="0"/>
        <w:jc w:val="both"/>
        <w:rPr>
          <w:rFonts w:hint="eastAsia"/>
          <w:lang w:val="en-US" w:eastAsia="zh-CN"/>
        </w:rPr>
      </w:pPr>
      <w:r>
        <w:rPr>
          <w:rFonts w:hint="eastAsia"/>
          <w:lang w:val="en-US" w:eastAsia="zh-CN"/>
        </w:rPr>
        <w:t>实现纵向公平:实行累进所得税制——规定免征额,而高于数量界限的所有收入都以固定税率征税;实行负所得税制累进税;实行税率分级,收入级次越高,适用的税率越高。</w:t>
      </w:r>
    </w:p>
    <w:p>
      <w:pPr>
        <w:pStyle w:val="2"/>
        <w:numPr>
          <w:numId w:val="0"/>
        </w:numPr>
        <w:bidi w:val="0"/>
        <w:rPr>
          <w:rFonts w:hint="eastAsia"/>
          <w:lang w:val="en-US" w:eastAsia="zh-CN"/>
        </w:rPr>
      </w:pPr>
      <w:bookmarkStart w:id="0" w:name="_GoBack"/>
      <w:bookmarkEnd w:id="0"/>
      <w:r>
        <w:rPr>
          <w:rFonts w:hint="eastAsia"/>
          <w:lang w:val="en-US" w:eastAsia="zh-CN"/>
        </w:rPr>
        <w:t>六．材料分析</w:t>
      </w:r>
    </w:p>
    <w:p>
      <w:pPr>
        <w:widowControl w:val="0"/>
        <w:numPr>
          <w:numId w:val="0"/>
        </w:numPr>
        <w:jc w:val="both"/>
        <w:rPr>
          <w:rFonts w:hint="eastAsia"/>
          <w:lang w:val="en-US" w:eastAsia="zh-CN"/>
        </w:rPr>
      </w:pPr>
      <w:r>
        <w:rPr>
          <w:rFonts w:hint="eastAsia"/>
          <w:lang w:val="en-US" w:eastAsia="zh-CN"/>
        </w:rPr>
        <w:t>（1）我国2022年的公债负担率为（25.87+35.06）/121.02*100%=50.35%</w:t>
      </w:r>
    </w:p>
    <w:p>
      <w:pPr>
        <w:widowControl w:val="0"/>
        <w:numPr>
          <w:numId w:val="0"/>
        </w:numPr>
        <w:ind w:leftChars="0"/>
        <w:jc w:val="both"/>
        <w:rPr>
          <w:rFonts w:hint="default"/>
          <w:lang w:val="en-US" w:eastAsia="zh-CN"/>
        </w:rPr>
      </w:pPr>
      <w:r>
        <w:rPr>
          <w:rFonts w:hint="default"/>
          <w:lang w:val="en-US" w:eastAsia="zh-CN"/>
        </w:rPr>
        <w:t>中国的国债负担率相对较高，但总体上仍处于可控范围内。根据数据，中国的国债负债率在GDP中的比重约为50%左右。尽管国债负担率在过去几年有所上升，但相对于其他一些发达国家和新兴市场国家来说，中国的国债负担率仍然相对较低。</w:t>
      </w:r>
    </w:p>
    <w:p>
      <w:pPr>
        <w:widowControl w:val="0"/>
        <w:numPr>
          <w:numId w:val="0"/>
        </w:numPr>
        <w:ind w:leftChars="0"/>
        <w:jc w:val="both"/>
        <w:rPr>
          <w:rFonts w:hint="default"/>
          <w:lang w:val="en-US" w:eastAsia="zh-CN"/>
        </w:rPr>
      </w:pPr>
    </w:p>
    <w:p>
      <w:pPr>
        <w:widowControl w:val="0"/>
        <w:numPr>
          <w:ilvl w:val="0"/>
          <w:numId w:val="3"/>
        </w:numPr>
        <w:jc w:val="both"/>
        <w:rPr>
          <w:rFonts w:hint="eastAsia"/>
          <w:lang w:val="en-US" w:eastAsia="zh-CN"/>
        </w:rPr>
      </w:pPr>
      <w:r>
        <w:rPr>
          <w:rFonts w:hint="eastAsia"/>
          <w:lang w:val="en-US" w:eastAsia="zh-CN"/>
        </w:rPr>
        <w:t>国债增发对人民有利有弊。有利的方面包括增加社会投资，促进经济发展，提升基础设施和公共服务设施的质量和水平，改善人民生活条件。通过投入到防灾减灾救灾领域，可以提升我国防灾减灾救灾能力，减少自然灾害对人民生命财产的损失。</w:t>
      </w:r>
    </w:p>
    <w:p>
      <w:pPr>
        <w:widowControl w:val="0"/>
        <w:numPr>
          <w:numId w:val="0"/>
        </w:numPr>
        <w:ind w:firstLine="420" w:firstLineChars="0"/>
        <w:jc w:val="both"/>
        <w:rPr>
          <w:rFonts w:hint="default"/>
          <w:lang w:val="en-US" w:eastAsia="zh-CN"/>
        </w:rPr>
      </w:pPr>
      <w:r>
        <w:rPr>
          <w:rFonts w:hint="default"/>
          <w:lang w:val="en-US" w:eastAsia="zh-CN"/>
        </w:rPr>
        <w:t>然而，国债增发也存在一些不利的方面。国债的增发会增加财政负担，可能会导致债务压力增加。此外，国债增发后的资金使用是否高效、透明，是否能够真正用于灾后恢复和防灾减灾救灾等目的，也</w:t>
      </w:r>
      <w:r>
        <w:rPr>
          <w:rFonts w:hint="eastAsia"/>
          <w:lang w:val="en-US" w:eastAsia="zh-CN"/>
        </w:rPr>
        <w:t>尚未知</w:t>
      </w:r>
      <w:r>
        <w:rPr>
          <w:rFonts w:hint="default"/>
          <w:lang w:val="en-US" w:eastAsia="zh-CN"/>
        </w:rPr>
        <w:t>。</w:t>
      </w:r>
    </w:p>
    <w:p>
      <w:pPr>
        <w:widowControl w:val="0"/>
        <w:numPr>
          <w:numId w:val="0"/>
        </w:numPr>
        <w:ind w:firstLine="420" w:firstLineChars="0"/>
        <w:jc w:val="both"/>
        <w:rPr>
          <w:rFonts w:hint="default"/>
          <w:lang w:val="en-US" w:eastAsia="zh-CN"/>
        </w:rPr>
      </w:pPr>
      <w:r>
        <w:rPr>
          <w:rFonts w:hint="default"/>
          <w:lang w:val="en-US" w:eastAsia="zh-CN"/>
        </w:rPr>
        <w:t>总的来说，国债增发是为了支持灾后恢复重建和提升防灾减灾救灾能力，这对于受灾地区和老百姓来说是好事。但是需要注意资金的使用效果和债务风险，确保资金能够真正用于有关领域的建设和改造，最终惠及受灾地区和老百姓。</w:t>
      </w:r>
    </w:p>
    <w:p>
      <w:pPr>
        <w:widowControl w:val="0"/>
        <w:numPr>
          <w:numId w:val="0"/>
        </w:numPr>
        <w:ind w:leftChars="0"/>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2F8DD"/>
    <w:multiLevelType w:val="singleLevel"/>
    <w:tmpl w:val="9842F8DD"/>
    <w:lvl w:ilvl="0" w:tentative="0">
      <w:start w:val="2"/>
      <w:numFmt w:val="decimal"/>
      <w:lvlText w:val="(%1)"/>
      <w:lvlJc w:val="left"/>
      <w:pPr>
        <w:tabs>
          <w:tab w:val="left" w:pos="312"/>
        </w:tabs>
      </w:pPr>
    </w:lvl>
  </w:abstractNum>
  <w:abstractNum w:abstractNumId="1">
    <w:nsid w:val="14A0E160"/>
    <w:multiLevelType w:val="singleLevel"/>
    <w:tmpl w:val="14A0E160"/>
    <w:lvl w:ilvl="0" w:tentative="0">
      <w:start w:val="2"/>
      <w:numFmt w:val="decimal"/>
      <w:suff w:val="nothing"/>
      <w:lvlText w:val="（%1）"/>
      <w:lvlJc w:val="left"/>
    </w:lvl>
  </w:abstractNum>
  <w:abstractNum w:abstractNumId="2">
    <w:nsid w:val="61E7E6BD"/>
    <w:multiLevelType w:val="singleLevel"/>
    <w:tmpl w:val="61E7E6BD"/>
    <w:lvl w:ilvl="0" w:tentative="0">
      <w:start w:val="1"/>
      <w:numFmt w:val="decimal"/>
      <w:lvlText w:val="%1."/>
      <w:lvlJc w:val="left"/>
      <w:pPr>
        <w:tabs>
          <w:tab w:val="left" w:pos="312"/>
        </w:tabs>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jMmRkNGYxY2M0ZWIxY2FlNTYwMmNlYTFhNmQ3MWMifQ=="/>
  </w:docVars>
  <w:rsids>
    <w:rsidRoot w:val="38FD3CE6"/>
    <w:rsid w:val="243F65B7"/>
    <w:rsid w:val="38FD3CE6"/>
    <w:rsid w:val="5FA919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imes New Roman" w:hAnsi="Times New Roman" w:eastAsia="宋体"/>
      <w:b/>
      <w:kern w:val="44"/>
      <w:sz w:val="28"/>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宋体"/>
      <w:b/>
      <w:sz w:val="2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2024-01-02T10:00:00Z</dcterms:created>
  <dc:creator>彧俐相遇</dc:creator>
  <cp:lastModifiedBy>彧俐相遇</cp:lastModifiedBy>
  <dcterms:modified xsi:type="dcterms:W3CDTF">2024-01-02T11:51:58Z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E11403EDCABB476C98552D8A2CE95EEE_11</vt:lpwstr>
  </property>
</Properties>
</file>