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/>
          <w:b/>
          <w:color w:val="111827"/>
          <w:sz w:val="56"/>
        </w:rPr>
        <w:t>PitchFlow</w:t>
      </w:r>
    </w:p>
    <w:p>
      <w:pPr>
        <w:jc w:val="center"/>
      </w:pPr>
      <w:r>
        <w:rPr>
          <w:rFonts w:ascii="PingFang SC" w:hAnsi="PingFang SC" w:eastAsia="PingFang SC"/>
          <w:b/>
          <w:color w:val="111827"/>
          <w:sz w:val="44"/>
        </w:rPr>
        <w:t>外贸获客用户操作手册</w:t>
      </w:r>
    </w:p>
    <w:p>
      <w:pPr>
        <w:jc w:val="center"/>
      </w:pPr>
      <w:r>
        <w:rPr>
          <w:rFonts w:ascii="PingFang SC" w:hAnsi="PingFang SC" w:eastAsia="PingFang SC"/>
          <w:color w:val="64748B"/>
          <w:sz w:val="22"/>
        </w:rPr>
        <w:t>适用对象：运营、销售、客服、客户成功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9"/>
      </w:tblGrid>
      <w:tr>
        <w:tc>
          <w:tcPr>
            <w:tcW w:type="dxa" w:w="9749"/>
            <w:shd w:fill="F8FAFC"/>
          </w:tcPr>
          <w:p>
            <w:pPr>
              <w:spacing w:after="160"/>
              <w:jc w:val="left"/>
            </w:pPr>
            <w:r>
              <w:rPr>
                <w:rFonts w:ascii="PingFang SC" w:hAnsi="PingFang SC" w:eastAsia="PingFang SC"/>
                <w:color w:val="334155"/>
                <w:sz w:val="22"/>
              </w:rPr>
              <w:t>这份手册帮助团队快速完成从账号注册到活动查看的完整上手。</w:t>
            </w:r>
          </w:p>
          <w:p>
            <w:pPr>
              <w:spacing w:after="160"/>
            </w:pPr>
            <w:r>
              <w:rPr>
                <w:rFonts w:ascii="PingFang SC" w:hAnsi="PingFang SC" w:eastAsia="PingFang SC"/>
                <w:color w:val="334155"/>
                <w:sz w:val="22"/>
              </w:rPr>
              <w:t>文档基于真实系统页面截图整理，可直接用于内部培训或客户交接。</w:t>
            </w:r>
          </w:p>
          <w:p>
            <w:pPr>
              <w:spacing w:after="160"/>
            </w:pPr>
            <w:r>
              <w:rPr>
                <w:rFonts w:ascii="PingFang SC" w:hAnsi="PingFang SC" w:eastAsia="PingFang SC"/>
                <w:color w:val="334155"/>
                <w:sz w:val="22"/>
              </w:rPr>
              <w:t>建议配合测试邮箱完成演练，避免误发真实客户。</w:t>
            </w:r>
          </w:p>
        </w:tc>
      </w:tr>
    </w:tbl>
    <w:p/>
    <w:p>
      <w:pPr>
        <w:jc w:val="center"/>
      </w:pPr>
      <w:r>
        <w:rPr>
          <w:rFonts w:ascii="PingFang SC" w:hAnsi="PingFang SC" w:eastAsia="PingFang SC"/>
          <w:color w:val="94A3B8"/>
          <w:sz w:val="20"/>
        </w:rPr>
        <w:t>版本：2026-04-22</w:t>
      </w:r>
    </w:p>
    <w:p>
      <w:r>
        <w:br w:type="page"/>
      </w:r>
    </w:p>
    <w:p>
      <w:pPr>
        <w:pStyle w:val="Heading1"/>
      </w:pPr>
      <w:r>
        <w:t>一、你会用到的核心功能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9"/>
      </w:tblGrid>
      <w:tr>
        <w:tc>
          <w:tcPr>
            <w:tcW w:type="dxa" w:w="9749"/>
            <w:shd w:fill="F8FAFC"/>
          </w:tcPr>
          <w:p>
            <w:pPr>
              <w:spacing w:after="120"/>
            </w:pPr>
            <w:r>
              <w:rPr>
                <w:rFonts w:ascii="PingFang SC" w:hAnsi="PingFang SC" w:eastAsia="PingFang SC"/>
                <w:b/>
                <w:color w:val="1E293B"/>
                <w:sz w:val="22"/>
              </w:rPr>
              <w:t>本手册覆盖范围</w:t>
            </w:r>
          </w:p>
          <w:p>
            <w:pPr>
              <w:pStyle w:val="ListBullet"/>
            </w:pPr>
            <w:r>
              <w:rPr>
                <w:rFonts w:ascii="PingFang SC" w:hAnsi="PingFang SC" w:eastAsia="PingFang SC"/>
                <w:color w:val="334155"/>
                <w:sz w:val="21"/>
              </w:rPr>
              <w:t>注册和登录账号</w:t>
            </w:r>
          </w:p>
          <w:p>
            <w:pPr>
              <w:pStyle w:val="ListBullet"/>
            </w:pPr>
            <w:r>
              <w:rPr>
                <w:rFonts w:ascii="PingFang SC" w:hAnsi="PingFang SC" w:eastAsia="PingFang SC"/>
                <w:color w:val="334155"/>
                <w:sz w:val="21"/>
              </w:rPr>
              <w:t>绑定用于发信和收信的邮箱账号</w:t>
            </w:r>
          </w:p>
          <w:p>
            <w:pPr>
              <w:pStyle w:val="ListBullet"/>
            </w:pPr>
            <w:r>
              <w:rPr>
                <w:rFonts w:ascii="PingFang SC" w:hAnsi="PingFang SC" w:eastAsia="PingFang SC"/>
                <w:color w:val="334155"/>
                <w:sz w:val="21"/>
              </w:rPr>
              <w:t>按行业和关键词挖掘潜在客户</w:t>
            </w:r>
          </w:p>
          <w:p>
            <w:pPr>
              <w:pStyle w:val="ListBullet"/>
            </w:pPr>
            <w:r>
              <w:rPr>
                <w:rFonts w:ascii="PingFang SC" w:hAnsi="PingFang SC" w:eastAsia="PingFang SC"/>
                <w:color w:val="334155"/>
                <w:sz w:val="21"/>
              </w:rPr>
              <w:t>配置邮件模板并创建营销活动</w:t>
            </w:r>
          </w:p>
          <w:p>
            <w:pPr>
              <w:pStyle w:val="ListBullet"/>
            </w:pPr>
            <w:r>
              <w:rPr>
                <w:rFonts w:ascii="PingFang SC" w:hAnsi="PingFang SC" w:eastAsia="PingFang SC"/>
                <w:color w:val="334155"/>
                <w:sz w:val="21"/>
              </w:rPr>
              <w:t>查看活动详情和后续发送结果</w:t>
            </w:r>
          </w:p>
        </w:tc>
      </w:tr>
    </w:tbl>
    <w:p/>
    <w:p>
      <w:pPr>
        <w:pStyle w:val="Heading1"/>
      </w:pPr>
      <w:r>
        <w:t>二、开始前先确认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9"/>
      </w:tblGrid>
      <w:tr>
        <w:tc>
          <w:tcPr>
            <w:tcW w:type="dxa" w:w="9749"/>
            <w:shd w:fill="EEF2FF"/>
          </w:tcPr>
          <w:p>
            <w:pPr>
              <w:spacing w:after="120"/>
            </w:pPr>
            <w:r>
              <w:rPr>
                <w:rFonts w:ascii="PingFang SC" w:hAnsi="PingFang SC" w:eastAsia="PingFang SC"/>
                <w:b/>
                <w:color w:val="1E293B"/>
                <w:sz w:val="22"/>
              </w:rPr>
              <w:t>前置检查</w:t>
            </w:r>
          </w:p>
          <w:p>
            <w:pPr>
              <w:pStyle w:val="ListBullet"/>
            </w:pPr>
            <w:r>
              <w:rPr>
                <w:rFonts w:ascii="PingFang SC" w:hAnsi="PingFang SC" w:eastAsia="PingFang SC"/>
                <w:color w:val="334155"/>
                <w:sz w:val="21"/>
              </w:rPr>
              <w:t>当前账号有可用的注册邮箱</w:t>
            </w:r>
          </w:p>
          <w:p>
            <w:pPr>
              <w:pStyle w:val="ListBullet"/>
            </w:pPr>
            <w:r>
              <w:rPr>
                <w:rFonts w:ascii="PingFang SC" w:hAnsi="PingFang SC" w:eastAsia="PingFang SC"/>
                <w:color w:val="334155"/>
                <w:sz w:val="21"/>
              </w:rPr>
              <w:t>注册邮箱已在“设置 &gt; 邮箱账号”里完成连接</w:t>
            </w:r>
          </w:p>
          <w:p>
            <w:pPr>
              <w:pStyle w:val="ListBullet"/>
            </w:pPr>
            <w:r>
              <w:rPr>
                <w:rFonts w:ascii="PingFang SC" w:hAnsi="PingFang SC" w:eastAsia="PingFang SC"/>
                <w:color w:val="334155"/>
                <w:sz w:val="21"/>
              </w:rPr>
              <w:t>系统后台已配置 AI 模型和 EmailEngine</w:t>
            </w:r>
          </w:p>
          <w:p>
            <w:pPr>
              <w:pStyle w:val="ListBullet"/>
            </w:pPr>
            <w:r>
              <w:rPr>
                <w:rFonts w:ascii="PingFang SC" w:hAnsi="PingFang SC" w:eastAsia="PingFang SC"/>
                <w:color w:val="334155"/>
                <w:sz w:val="21"/>
              </w:rPr>
              <w:t>测试阶段请统一使用测试邮箱，避免误发真实客户</w:t>
            </w:r>
          </w:p>
        </w:tc>
      </w:tr>
    </w:tbl>
    <w:p/>
    <w:p>
      <w:pPr>
        <w:pStyle w:val="Heading2"/>
      </w:pPr>
      <w:r>
        <w:t>步骤 1  注册新账号</w:t>
      </w:r>
    </w:p>
    <w:p>
      <w:pPr>
        <w:spacing w:after="160"/>
      </w:pPr>
      <w:r>
        <w:t>首次使用时，先创建一个团队管理员账号。</w:t>
      </w:r>
    </w:p>
    <w:p>
      <w:r>
        <w:drawing>
          <wp:inline xmlns:a="http://schemas.openxmlformats.org/drawingml/2006/main" xmlns:pic="http://schemas.openxmlformats.org/drawingml/2006/picture">
            <wp:extent cx="6035040" cy="46645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register-p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6645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8"/>
        </w:rPr>
        <w:t>图 1. 注册新账号</w:t>
      </w:r>
    </w:p>
    <w:p>
      <w:r>
        <w:t>操作要点：</w:t>
      </w:r>
    </w:p>
    <w:p>
      <w:pPr>
        <w:pStyle w:val="ListNumber"/>
      </w:pPr>
      <w:r>
        <w:t>打开注册页面 /register</w:t>
      </w:r>
    </w:p>
    <w:p>
      <w:pPr>
        <w:pStyle w:val="ListNumber"/>
      </w:pPr>
      <w:r>
        <w:t>填写姓名、邮箱和密码</w:t>
      </w:r>
    </w:p>
    <w:p>
      <w:pPr>
        <w:pStyle w:val="ListNumber"/>
      </w:pPr>
      <w:r>
        <w:t>点击“注册”完成创建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9"/>
      </w:tblGrid>
      <w:tr>
        <w:tc>
          <w:tcPr>
            <w:tcW w:type="dxa" w:w="9749"/>
            <w:shd w:fill="FFF7ED"/>
          </w:tcPr>
          <w:p>
            <w:pPr>
              <w:spacing w:after="120"/>
            </w:pPr>
            <w:r>
              <w:rPr>
                <w:rFonts w:ascii="PingFang SC" w:hAnsi="PingFang SC" w:eastAsia="PingFang SC"/>
                <w:b/>
                <w:color w:val="1E293B"/>
                <w:sz w:val="22"/>
              </w:rPr>
              <w:t>补充建议</w:t>
            </w:r>
          </w:p>
          <w:p>
            <w:pPr>
              <w:pStyle w:val="ListBullet"/>
            </w:pPr>
            <w:r>
              <w:rPr>
                <w:rFonts w:ascii="PingFang SC" w:hAnsi="PingFang SC" w:eastAsia="PingFang SC"/>
                <w:color w:val="334155"/>
                <w:sz w:val="21"/>
              </w:rPr>
              <w:t>密码建议统一采用团队测试规范，便于培训和演示。</w:t>
            </w:r>
          </w:p>
        </w:tc>
      </w:tr>
    </w:tbl>
    <w:p/>
    <w:p>
      <w:pPr>
        <w:pStyle w:val="Heading2"/>
      </w:pPr>
      <w:r>
        <w:t>步骤 2  注册成功后进入仪表盘</w:t>
      </w:r>
    </w:p>
    <w:p>
      <w:pPr>
        <w:spacing w:after="160"/>
      </w:pPr>
      <w:r>
        <w:t>注册完成后系统会自动登录并进入仪表盘。</w:t>
      </w:r>
    </w:p>
    <w:p>
      <w:r>
        <w:drawing>
          <wp:inline xmlns:a="http://schemas.openxmlformats.org/drawingml/2006/main" xmlns:pic="http://schemas.openxmlformats.org/drawingml/2006/picture">
            <wp:extent cx="6035040" cy="466458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dashboard-after-regist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6645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8"/>
        </w:rPr>
        <w:t>图 2. 注册成功后进入仪表盘</w:t>
      </w:r>
    </w:p>
    <w:p>
      <w:r>
        <w:t>操作要点：</w:t>
      </w:r>
    </w:p>
    <w:p>
      <w:pPr>
        <w:pStyle w:val="ListNumber"/>
      </w:pPr>
      <w:r>
        <w:t>确认页面已跳转到 /dashboard</w:t>
      </w:r>
    </w:p>
    <w:p>
      <w:pPr>
        <w:pStyle w:val="ListNumber"/>
      </w:pPr>
      <w:r>
        <w:t>后续客户、模板、活动等数据都会归属到当前团队</w:t>
      </w:r>
    </w:p>
    <w:p/>
    <w:p>
      <w:pPr>
        <w:pStyle w:val="Heading2"/>
      </w:pPr>
      <w:r>
        <w:t>步骤 3  重新登录系统</w:t>
      </w:r>
    </w:p>
    <w:p>
      <w:pPr>
        <w:spacing w:after="160"/>
      </w:pPr>
      <w:r>
        <w:t>后续日常使用时，可通过邮箱密码登录。</w:t>
      </w:r>
    </w:p>
    <w:p>
      <w:r>
        <w:drawing>
          <wp:inline xmlns:a="http://schemas.openxmlformats.org/drawingml/2006/main" xmlns:pic="http://schemas.openxmlformats.org/drawingml/2006/picture">
            <wp:extent cx="6035040" cy="466458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login-p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6645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8"/>
        </w:rPr>
        <w:t>图 3. 重新登录系统</w:t>
      </w:r>
    </w:p>
    <w:p>
      <w:r>
        <w:t>操作要点：</w:t>
      </w:r>
    </w:p>
    <w:p>
      <w:pPr>
        <w:pStyle w:val="ListNumber"/>
      </w:pPr>
      <w:r>
        <w:t>打开登录页 /login</w:t>
      </w:r>
    </w:p>
    <w:p>
      <w:pPr>
        <w:pStyle w:val="ListNumber"/>
      </w:pPr>
      <w:r>
        <w:t>输入注册邮箱和密码</w:t>
      </w:r>
    </w:p>
    <w:p>
      <w:pPr>
        <w:pStyle w:val="ListNumber"/>
      </w:pPr>
      <w:r>
        <w:t>点击“登录”进入系统</w:t>
      </w:r>
    </w:p>
    <w:p/>
    <w:p>
      <w:pPr>
        <w:pStyle w:val="Heading2"/>
      </w:pPr>
      <w:r>
        <w:t>步骤 4  绑定邮箱账号</w:t>
      </w:r>
    </w:p>
    <w:p>
      <w:pPr>
        <w:spacing w:after="160"/>
      </w:pPr>
      <w:r>
        <w:t>活动发信、客户回复读取和消息追踪，都依赖这里绑定的邮箱账号。</w:t>
      </w:r>
    </w:p>
    <w:p>
      <w:r>
        <w:drawing>
          <wp:inline xmlns:a="http://schemas.openxmlformats.org/drawingml/2006/main" xmlns:pic="http://schemas.openxmlformats.org/drawingml/2006/picture">
            <wp:extent cx="6035040" cy="466458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mailboxes-p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6645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8"/>
        </w:rPr>
        <w:t>图 4. 绑定邮箱账号</w:t>
      </w:r>
    </w:p>
    <w:p>
      <w:r>
        <w:t>操作要点：</w:t>
      </w:r>
    </w:p>
    <w:p>
      <w:pPr>
        <w:pStyle w:val="ListNumber"/>
      </w:pPr>
      <w:r>
        <w:t>打开“设置 &gt; 邮箱账号”</w:t>
      </w:r>
    </w:p>
    <w:p>
      <w:pPr>
        <w:pStyle w:val="ListNumber"/>
      </w:pPr>
      <w:r>
        <w:t>优先选择常见服务商预设，例如 Gmail</w:t>
      </w:r>
    </w:p>
    <w:p>
      <w:pPr>
        <w:pStyle w:val="ListNumber"/>
      </w:pPr>
      <w:r>
        <w:t>填写 IMAP 和 SMTP 连接信息</w:t>
      </w:r>
    </w:p>
    <w:p>
      <w:pPr>
        <w:pStyle w:val="ListNumber"/>
      </w:pPr>
      <w:r>
        <w:t>点击“连接邮箱”</w:t>
      </w:r>
    </w:p>
    <w:p>
      <w:pPr>
        <w:pStyle w:val="ListNumber"/>
      </w:pPr>
      <w:r>
        <w:t>确认邮箱状态可用后再继续后面的步骤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9"/>
      </w:tblGrid>
      <w:tr>
        <w:tc>
          <w:tcPr>
            <w:tcW w:type="dxa" w:w="9749"/>
            <w:shd w:fill="FFF7ED"/>
          </w:tcPr>
          <w:p>
            <w:pPr>
              <w:spacing w:after="120"/>
            </w:pPr>
            <w:r>
              <w:rPr>
                <w:rFonts w:ascii="PingFang SC" w:hAnsi="PingFang SC" w:eastAsia="PingFang SC"/>
                <w:b/>
                <w:color w:val="1E293B"/>
                <w:sz w:val="22"/>
              </w:rPr>
              <w:t>补充建议</w:t>
            </w:r>
          </w:p>
          <w:p>
            <w:pPr>
              <w:pStyle w:val="ListBullet"/>
            </w:pPr>
            <w:r>
              <w:rPr>
                <w:rFonts w:ascii="PingFang SC" w:hAnsi="PingFang SC" w:eastAsia="PingFang SC"/>
                <w:color w:val="334155"/>
                <w:sz w:val="21"/>
              </w:rPr>
              <w:t>活动默认使用“当前登录账号注册邮箱对应的已连接邮箱账号”发送。</w:t>
            </w:r>
          </w:p>
          <w:p>
            <w:pPr>
              <w:pStyle w:val="ListBullet"/>
            </w:pPr>
            <w:r>
              <w:rPr>
                <w:rFonts w:ascii="PingFang SC" w:hAnsi="PingFang SC" w:eastAsia="PingFang SC"/>
                <w:color w:val="334155"/>
                <w:sz w:val="21"/>
              </w:rPr>
              <w:t>如果这里没有连接成功，活动无法正常发信。</w:t>
            </w:r>
          </w:p>
        </w:tc>
      </w:tr>
    </w:tbl>
    <w:p/>
    <w:p>
      <w:pPr>
        <w:pStyle w:val="Heading2"/>
      </w:pPr>
      <w:r>
        <w:t>步骤 5  挖掘潜在客户</w:t>
      </w:r>
    </w:p>
    <w:p>
      <w:pPr>
        <w:spacing w:after="160"/>
      </w:pPr>
      <w:r>
        <w:t>通过行业、关键词和国家组合搜索目标客户。</w:t>
      </w:r>
    </w:p>
    <w:p>
      <w:r>
        <w:drawing>
          <wp:inline xmlns:a="http://schemas.openxmlformats.org/drawingml/2006/main" xmlns:pic="http://schemas.openxmlformats.org/drawingml/2006/picture">
            <wp:extent cx="6035040" cy="466458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discover-for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6645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8"/>
        </w:rPr>
        <w:t>图 5. 挖掘潜在客户</w:t>
      </w:r>
    </w:p>
    <w:p>
      <w:r>
        <w:t>操作要点：</w:t>
      </w:r>
    </w:p>
    <w:p>
      <w:pPr>
        <w:pStyle w:val="ListNumber"/>
      </w:pPr>
      <w:r>
        <w:t>打开客户挖掘页 /prospects/new</w:t>
      </w:r>
    </w:p>
    <w:p>
      <w:pPr>
        <w:pStyle w:val="ListNumber"/>
      </w:pPr>
      <w:r>
        <w:t>填写行业 / 产品，例如“时尚首饰”</w:t>
      </w:r>
    </w:p>
    <w:p>
      <w:pPr>
        <w:pStyle w:val="ListNumber"/>
      </w:pPr>
      <w:r>
        <w:t>填写关键词，例如“wholesale jewelry”</w:t>
      </w:r>
    </w:p>
    <w:p>
      <w:pPr>
        <w:pStyle w:val="ListNumber"/>
      </w:pPr>
      <w:r>
        <w:t>选择目标国家和挖掘数量</w:t>
      </w:r>
    </w:p>
    <w:p>
      <w:pPr>
        <w:pStyle w:val="ListNumber"/>
      </w:pPr>
      <w:r>
        <w:t>点击“开始挖掘”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9"/>
      </w:tblGrid>
      <w:tr>
        <w:tc>
          <w:tcPr>
            <w:tcW w:type="dxa" w:w="9749"/>
            <w:shd w:fill="FFF7ED"/>
          </w:tcPr>
          <w:p>
            <w:pPr>
              <w:spacing w:after="120"/>
            </w:pPr>
            <w:r>
              <w:rPr>
                <w:rFonts w:ascii="PingFang SC" w:hAnsi="PingFang SC" w:eastAsia="PingFang SC"/>
                <w:b/>
                <w:color w:val="1E293B"/>
                <w:sz w:val="22"/>
              </w:rPr>
              <w:t>补充建议</w:t>
            </w:r>
          </w:p>
          <w:p>
            <w:pPr>
              <w:pStyle w:val="ListBullet"/>
            </w:pPr>
            <w:r>
              <w:rPr>
                <w:rFonts w:ascii="PingFang SC" w:hAnsi="PingFang SC" w:eastAsia="PingFang SC"/>
                <w:color w:val="334155"/>
                <w:sz w:val="21"/>
              </w:rPr>
              <w:t>行业尽量具体，结果会更聚焦。</w:t>
            </w:r>
          </w:p>
          <w:p>
            <w:pPr>
              <w:pStyle w:val="ListBullet"/>
            </w:pPr>
            <w:r>
              <w:rPr>
                <w:rFonts w:ascii="PingFang SC" w:hAnsi="PingFang SC" w:eastAsia="PingFang SC"/>
                <w:color w:val="334155"/>
                <w:sz w:val="21"/>
              </w:rPr>
              <w:t>关键词尽量贴近采购场景。</w:t>
            </w:r>
          </w:p>
          <w:p>
            <w:pPr>
              <w:pStyle w:val="ListBullet"/>
            </w:pPr>
            <w:r>
              <w:rPr>
                <w:rFonts w:ascii="PingFang SC" w:hAnsi="PingFang SC" w:eastAsia="PingFang SC"/>
                <w:color w:val="334155"/>
                <w:sz w:val="21"/>
              </w:rPr>
              <w:t>国家建议明确填写，避免结果过散。</w:t>
            </w:r>
          </w:p>
        </w:tc>
      </w:tr>
    </w:tbl>
    <w:p/>
    <w:p>
      <w:pPr>
        <w:pStyle w:val="Heading2"/>
      </w:pPr>
      <w:r>
        <w:t>步骤 6  查看客户列表</w:t>
      </w:r>
    </w:p>
    <w:p>
      <w:pPr>
        <w:spacing w:after="160"/>
      </w:pPr>
      <w:r>
        <w:t>挖掘完成后，可以回到客户列表统一筛选和查看评分。</w:t>
      </w:r>
    </w:p>
    <w:p>
      <w:r>
        <w:drawing>
          <wp:inline xmlns:a="http://schemas.openxmlformats.org/drawingml/2006/main" xmlns:pic="http://schemas.openxmlformats.org/drawingml/2006/picture">
            <wp:extent cx="6035040" cy="466458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prospects-lis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6645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8"/>
        </w:rPr>
        <w:t>图 6. 查看客户列表</w:t>
      </w:r>
    </w:p>
    <w:p>
      <w:r>
        <w:t>操作要点：</w:t>
      </w:r>
    </w:p>
    <w:p>
      <w:pPr>
        <w:pStyle w:val="ListNumber"/>
      </w:pPr>
      <w:r>
        <w:t>打开客户列表 /prospects</w:t>
      </w:r>
    </w:p>
    <w:p>
      <w:pPr>
        <w:pStyle w:val="ListNumber"/>
      </w:pPr>
      <w:r>
        <w:t>查看客户名称、邮箱、国家、搜索评分和调研评分</w:t>
      </w:r>
    </w:p>
    <w:p>
      <w:pPr>
        <w:pStyle w:val="ListNumber"/>
      </w:pPr>
      <w:r>
        <w:t>点击客户信息卡可直接进入客户详情页</w:t>
      </w:r>
    </w:p>
    <w:p/>
    <w:p>
      <w:pPr>
        <w:pStyle w:val="Heading2"/>
      </w:pPr>
      <w:r>
        <w:t>步骤 7  配置邮件模板</w:t>
      </w:r>
    </w:p>
    <w:p>
      <w:pPr>
        <w:spacing w:after="160"/>
      </w:pPr>
      <w:r>
        <w:t>邮件模板用于批量生成首封开发信。</w:t>
      </w:r>
    </w:p>
    <w:p>
      <w:r>
        <w:drawing>
          <wp:inline xmlns:a="http://schemas.openxmlformats.org/drawingml/2006/main" xmlns:pic="http://schemas.openxmlformats.org/drawingml/2006/picture">
            <wp:extent cx="6035040" cy="466458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template-edito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6645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8"/>
        </w:rPr>
        <w:t>图 7. 配置邮件模板</w:t>
      </w:r>
    </w:p>
    <w:p>
      <w:r>
        <w:t>操作要点：</w:t>
      </w:r>
    </w:p>
    <w:p>
      <w:pPr>
        <w:pStyle w:val="ListNumber"/>
      </w:pPr>
      <w:r>
        <w:t>打开模板页并进入模板编辑界面</w:t>
      </w:r>
    </w:p>
    <w:p>
      <w:pPr>
        <w:pStyle w:val="ListNumber"/>
      </w:pPr>
      <w:r>
        <w:t>填写模板名称、邮件主题和正文</w:t>
      </w:r>
    </w:p>
    <w:p>
      <w:pPr>
        <w:pStyle w:val="ListNumber"/>
      </w:pPr>
      <w:r>
        <w:t>通过变量插入客户信息，例如 {{companyName}}、{{contactName}}</w:t>
      </w:r>
    </w:p>
    <w:p>
      <w:pPr>
        <w:pStyle w:val="ListNumber"/>
      </w:pPr>
      <w:r>
        <w:t>保存模板，供后续活动直接复用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9"/>
      </w:tblGrid>
      <w:tr>
        <w:tc>
          <w:tcPr>
            <w:tcW w:type="dxa" w:w="9749"/>
            <w:shd w:fill="FFF7ED"/>
          </w:tcPr>
          <w:p>
            <w:pPr>
              <w:spacing w:after="120"/>
            </w:pPr>
            <w:r>
              <w:rPr>
                <w:rFonts w:ascii="PingFang SC" w:hAnsi="PingFang SC" w:eastAsia="PingFang SC"/>
                <w:b/>
                <w:color w:val="1E293B"/>
                <w:sz w:val="22"/>
              </w:rPr>
              <w:t>补充建议</w:t>
            </w:r>
          </w:p>
          <w:p>
            <w:pPr>
              <w:pStyle w:val="ListBullet"/>
            </w:pPr>
            <w:r>
              <w:rPr>
                <w:rFonts w:ascii="PingFang SC" w:hAnsi="PingFang SC" w:eastAsia="PingFang SC"/>
                <w:color w:val="334155"/>
                <w:sz w:val="21"/>
              </w:rPr>
              <w:t>主题尽量自然，避免过强营销感。</w:t>
            </w:r>
          </w:p>
          <w:p>
            <w:pPr>
              <w:pStyle w:val="ListBullet"/>
            </w:pPr>
            <w:r>
              <w:rPr>
                <w:rFonts w:ascii="PingFang SC" w:hAnsi="PingFang SC" w:eastAsia="PingFang SC"/>
                <w:color w:val="334155"/>
                <w:sz w:val="21"/>
              </w:rPr>
              <w:t>正文保持简洁，优先突出价值点和回复动作。</w:t>
            </w:r>
          </w:p>
        </w:tc>
      </w:tr>
    </w:tbl>
    <w:p/>
    <w:p>
      <w:pPr>
        <w:pStyle w:val="Heading2"/>
      </w:pPr>
      <w:r>
        <w:t>步骤 8  新建营销活动</w:t>
      </w:r>
    </w:p>
    <w:p>
      <w:pPr>
        <w:spacing w:after="160"/>
      </w:pPr>
      <w:r>
        <w:t>活动用于把模板和客户绑定起来，并进入发信流程。</w:t>
      </w:r>
    </w:p>
    <w:p>
      <w:r>
        <w:drawing>
          <wp:inline xmlns:a="http://schemas.openxmlformats.org/drawingml/2006/main" xmlns:pic="http://schemas.openxmlformats.org/drawingml/2006/picture">
            <wp:extent cx="6035040" cy="466458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campaign-ne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6645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8"/>
        </w:rPr>
        <w:t>图 8. 新建营销活动</w:t>
      </w:r>
    </w:p>
    <w:p>
      <w:r>
        <w:t>操作要点：</w:t>
      </w:r>
    </w:p>
    <w:p>
      <w:pPr>
        <w:pStyle w:val="ListNumber"/>
      </w:pPr>
      <w:r>
        <w:t>打开活动新建页 /campaigns/new</w:t>
      </w:r>
    </w:p>
    <w:p>
      <w:pPr>
        <w:pStyle w:val="ListNumber"/>
      </w:pPr>
      <w:r>
        <w:t>填写活动名称、目标行业和目标联系人角色</w:t>
      </w:r>
    </w:p>
    <w:p>
      <w:pPr>
        <w:pStyle w:val="ListNumber"/>
      </w:pPr>
      <w:r>
        <w:t>选择要使用的邮件模板</w:t>
      </w:r>
    </w:p>
    <w:p>
      <w:pPr>
        <w:pStyle w:val="ListNumber"/>
      </w:pPr>
      <w:r>
        <w:t>勾选目标客户</w:t>
      </w:r>
    </w:p>
    <w:p>
      <w:pPr>
        <w:pStyle w:val="ListNumber"/>
      </w:pPr>
      <w:r>
        <w:t>点击“创建活动”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9"/>
      </w:tblGrid>
      <w:tr>
        <w:tc>
          <w:tcPr>
            <w:tcW w:type="dxa" w:w="9749"/>
            <w:shd w:fill="FFF7ED"/>
          </w:tcPr>
          <w:p>
            <w:pPr>
              <w:spacing w:after="120"/>
            </w:pPr>
            <w:r>
              <w:rPr>
                <w:rFonts w:ascii="PingFang SC" w:hAnsi="PingFang SC" w:eastAsia="PingFang SC"/>
                <w:b/>
                <w:color w:val="1E293B"/>
                <w:sz w:val="22"/>
              </w:rPr>
              <w:t>补充建议</w:t>
            </w:r>
          </w:p>
          <w:p>
            <w:pPr>
              <w:pStyle w:val="ListBullet"/>
            </w:pPr>
            <w:r>
              <w:rPr>
                <w:rFonts w:ascii="PingFang SC" w:hAnsi="PingFang SC" w:eastAsia="PingFang SC"/>
                <w:color w:val="334155"/>
                <w:sz w:val="21"/>
              </w:rPr>
              <w:t>客户列表支持按评分和关键词筛选后再勾选。</w:t>
            </w:r>
          </w:p>
        </w:tc>
      </w:tr>
    </w:tbl>
    <w:p/>
    <w:p>
      <w:pPr>
        <w:pStyle w:val="Heading2"/>
      </w:pPr>
      <w:r>
        <w:t>步骤 9  查看活动详情</w:t>
      </w:r>
    </w:p>
    <w:p>
      <w:pPr>
        <w:spacing w:after="160"/>
      </w:pPr>
      <w:r>
        <w:t>活动启动后，可以在详情页查看发送状态、回复状态和邮件明细。</w:t>
      </w:r>
    </w:p>
    <w:p>
      <w:r>
        <w:drawing>
          <wp:inline xmlns:a="http://schemas.openxmlformats.org/drawingml/2006/main" xmlns:pic="http://schemas.openxmlformats.org/drawingml/2006/picture">
            <wp:extent cx="6035040" cy="466458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campaign-detai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6645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8"/>
        </w:rPr>
        <w:t>图 9. 查看活动详情</w:t>
      </w:r>
    </w:p>
    <w:p>
      <w:r>
        <w:t>操作要点：</w:t>
      </w:r>
    </w:p>
    <w:p>
      <w:pPr>
        <w:pStyle w:val="ListNumber"/>
      </w:pPr>
      <w:r>
        <w:t>进入对应活动详情页</w:t>
      </w:r>
    </w:p>
    <w:p>
      <w:pPr>
        <w:pStyle w:val="ListNumber"/>
      </w:pPr>
      <w:r>
        <w:t>查看顶部统计：目标客户、已发送、已打开、已点击、已回复</w:t>
      </w:r>
    </w:p>
    <w:p>
      <w:pPr>
        <w:pStyle w:val="ListNumber"/>
      </w:pPr>
      <w:r>
        <w:t>查看下方邮件列表和单封状态</w:t>
      </w:r>
    </w:p>
    <w:p>
      <w:pPr>
        <w:pStyle w:val="ListNumber"/>
      </w:pPr>
      <w:r>
        <w:t>如果邮件失败，可对单封邮件重新同步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9"/>
      </w:tblGrid>
      <w:tr>
        <w:tc>
          <w:tcPr>
            <w:tcW w:type="dxa" w:w="9749"/>
            <w:shd w:fill="FFF7ED"/>
          </w:tcPr>
          <w:p>
            <w:pPr>
              <w:spacing w:after="120"/>
            </w:pPr>
            <w:r>
              <w:rPr>
                <w:rFonts w:ascii="PingFang SC" w:hAnsi="PingFang SC" w:eastAsia="PingFang SC"/>
                <w:b/>
                <w:color w:val="1E293B"/>
                <w:sz w:val="22"/>
              </w:rPr>
              <w:t>补充建议</w:t>
            </w:r>
          </w:p>
          <w:p>
            <w:pPr>
              <w:pStyle w:val="ListBullet"/>
            </w:pPr>
            <w:r>
              <w:rPr>
                <w:rFonts w:ascii="PingFang SC" w:hAnsi="PingFang SC" w:eastAsia="PingFang SC"/>
                <w:color w:val="334155"/>
                <w:sz w:val="21"/>
              </w:rPr>
              <w:t>系统会定时扫描自动跟进条件。</w:t>
            </w:r>
          </w:p>
          <w:p>
            <w:pPr>
              <w:pStyle w:val="ListBullet"/>
            </w:pPr>
            <w:r>
              <w:rPr>
                <w:rFonts w:ascii="PingFang SC" w:hAnsi="PingFang SC" w:eastAsia="PingFang SC"/>
                <w:color w:val="334155"/>
                <w:sz w:val="21"/>
              </w:rPr>
              <w:t>客户一旦回复，活动状态和消息追踪会继续更新。</w:t>
            </w:r>
          </w:p>
        </w:tc>
      </w:tr>
    </w:tbl>
    <w:p/>
    <w:p>
      <w:pPr>
        <w:pStyle w:val="Heading1"/>
      </w:pPr>
      <w:r>
        <w:t>三、发布前检查清单</w:t>
      </w:r>
    </w:p>
    <w:p>
      <w:pPr>
        <w:pStyle w:val="ListBullet"/>
      </w:pPr>
      <w:r>
        <w:t>邮箱连接链路是否可用</w:t>
      </w:r>
    </w:p>
    <w:p>
      <w:pPr>
        <w:pStyle w:val="ListBullet"/>
      </w:pPr>
      <w:r>
        <w:t>活动发信是否能进入“已发送”状态</w:t>
      </w:r>
    </w:p>
    <w:p>
      <w:pPr>
        <w:pStyle w:val="ListBullet"/>
      </w:pPr>
      <w:r>
        <w:t>客户回复后是否能回写到活动详情</w:t>
      </w:r>
    </w:p>
    <w:p>
      <w:pPr>
        <w:pStyle w:val="ListBullet"/>
      </w:pPr>
      <w:r>
        <w:t>消息追踪邮件、飞书、企微通知内容是否完整</w:t>
      </w:r>
    </w:p>
    <w:p>
      <w:pPr>
        <w:pStyle w:val="ListBullet"/>
      </w:pPr>
      <w:r>
        <w:t>客户列表和活动列表分页是否正常</w:t>
      </w:r>
    </w:p>
    <w:p>
      <w:pPr>
        <w:pStyle w:val="ListBullet"/>
      </w:pPr>
      <w:r>
        <w:t>登录注册页是否只保留邮箱密码入口</w:t>
      </w:r>
    </w:p>
    <w:p>
      <w:pPr>
        <w:pStyle w:val="ListBullet"/>
      </w:pPr>
      <w:r>
        <w:t>AI 生成模板结果里是否不再出现 think 内容</w:t>
      </w:r>
    </w:p>
    <w:p/>
    <w:p>
      <w:r>
        <w:rPr>
          <w:color w:val="475569"/>
          <w:sz w:val="21"/>
        </w:rPr>
        <w:t>说明：这份 DOCX 基于真实系统页面截图整理，适合对外发给运营、销售和客户成功团队使用。</w:t>
      </w:r>
    </w:p>
    <w:sectPr w:rsidR="00FC693F" w:rsidRPr="0006063C" w:rsidSect="00034616">
      <w:pgSz w:w="11909" w:h="16834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PingFang SC" w:hAnsi="PingFang SC" w:eastAsia="PingFang SC"/>
      <w:b/>
      <w:bCs/>
      <w:color w:val="0F172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0F172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PingFang SC" w:hAnsi="PingFang SC" w:eastAsia="PingFang SC"/>
      <w:b/>
      <w:bCs/>
      <w:color w:val="1E293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