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rPr>
          <w:lang w:val="en-US"/>
        </w:rPr>
      </w:pPr>
      <w:bookmarkStart w:id="0" w:name="_GoBack"/>
      <w:bookmarkEnd w:id="0"/>
      <w:r>
        <w:rPr>
          <w:lang w:val="en-US"/>
        </w:rPr>
        <w:t>Title: 14 pt, Times New Roman: A template for SPW2017 abstracts</w:t>
      </w:r>
    </w:p>
    <w:p>
      <w:pPr>
        <w:pStyle w:val="Heading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b/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First</w:t>
      </w:r>
      <w:r>
        <w:rPr>
          <w:b/>
          <w:bCs/>
          <w:sz w:val="18"/>
          <w:vertAlign w:val="superscript"/>
          <w:lang w:val="en-US"/>
        </w:rPr>
        <w:t>1</w:t>
      </w:r>
      <w:r>
        <w:rPr>
          <w:b/>
          <w:bCs/>
          <w:sz w:val="18"/>
          <w:lang w:val="en-US"/>
        </w:rPr>
        <w:t>, Second</w:t>
      </w:r>
      <w:r>
        <w:rPr>
          <w:b/>
          <w:bCs/>
          <w:sz w:val="18"/>
          <w:vertAlign w:val="superscript"/>
          <w:lang w:val="en-US"/>
        </w:rPr>
        <w:t>2</w:t>
      </w:r>
      <w:r>
        <w:rPr>
          <w:b/>
          <w:bCs/>
          <w:sz w:val="18"/>
          <w:lang w:val="en-US"/>
        </w:rPr>
        <w:t>, Third</w:t>
      </w:r>
      <w:r>
        <w:rPr>
          <w:b/>
          <w:bCs/>
          <w:sz w:val="18"/>
          <w:vertAlign w:val="superscript"/>
          <w:lang w:val="en-US"/>
        </w:rPr>
        <w:t>1</w:t>
      </w:r>
      <w:r>
        <w:rPr>
          <w:b/>
          <w:bCs/>
          <w:sz w:val="18"/>
          <w:lang w:val="en-US"/>
        </w:rPr>
        <w:t xml:space="preserve"> Author, etc. (Times New Roman, 9 pt)</w:t>
      </w:r>
    </w:p>
    <w:p>
      <w:pPr>
        <w:pStyle w:val="Normal"/>
        <w:spacing w:before="0" w:after="60"/>
        <w:jc w:val="center"/>
        <w:rPr>
          <w:b/>
          <w:b/>
          <w:bCs/>
          <w:sz w:val="18"/>
          <w:vertAlign w:val="superscript"/>
          <w:lang w:val="en-US"/>
        </w:rPr>
      </w:pPr>
      <w:r>
        <w:rPr>
          <w:i/>
          <w:iCs/>
          <w:color w:val="000000"/>
          <w:sz w:val="16"/>
          <w:szCs w:val="16"/>
          <w:vertAlign w:val="superscript"/>
          <w:lang w:val="en-US"/>
        </w:rPr>
        <w:t>1</w:t>
      </w:r>
      <w:r>
        <w:rPr>
          <w:i/>
          <w:iCs/>
          <w:color w:val="000000"/>
          <w:sz w:val="16"/>
          <w:szCs w:val="16"/>
          <w:lang w:val="en-US"/>
        </w:rPr>
        <w:t>Affiliation: Times New Roman, 8pt, italicized, Institute, city/town, country</w:t>
      </w:r>
    </w:p>
    <w:p>
      <w:pPr>
        <w:pStyle w:val="Normal"/>
        <w:spacing w:before="0" w:after="60"/>
        <w:jc w:val="center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</w:r>
    </w:p>
    <w:p>
      <w:pPr>
        <w:pStyle w:val="Normal"/>
        <w:ind w:firstLine="720"/>
        <w:jc w:val="both"/>
        <w:rPr/>
      </w:pPr>
      <w:r>
        <w:rPr>
          <w:lang w:val="en-US"/>
        </w:rPr>
        <w:t xml:space="preserve">Abstract. Times New Roman, 10 pt. One page, including references. Please send a finalized word or pdf copy of your abstract to: </w:t>
      </w:r>
      <w:hyperlink r:id="rId2">
        <w:r>
          <w:rPr>
            <w:rStyle w:val="InternetLink"/>
            <w:lang w:val="en-US"/>
          </w:rPr>
          <w:t>spw2017@nist.gov</w:t>
        </w:r>
      </w:hyperlink>
      <w:r>
        <w:rPr>
          <w:lang w:val="en-US"/>
        </w:rPr>
        <w:t>, with the subject:</w:t>
      </w:r>
      <w:r>
        <w:rPr>
          <w:b/>
          <w:lang w:val="en-US"/>
        </w:rPr>
        <w:t xml:space="preserve"> SPW 2017 abstract</w:t>
      </w:r>
      <w:r>
        <w:rPr>
          <w:lang w:val="en-US"/>
        </w:rPr>
        <w:t>. Of course, you can create your abstract in latex. However, in this case please compile it to a 1-page pdf.</w:t>
      </w:r>
    </w:p>
    <w:p>
      <w:pPr>
        <w:pStyle w:val="Normal"/>
        <w:ind w:firstLine="720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right="562" w:firstLine="708"/>
        <w:jc w:val="both"/>
        <w:rPr>
          <w:szCs w:val="16"/>
          <w:lang w:val="en-US"/>
        </w:rPr>
      </w:pPr>
      <w:r>
        <w:rPr>
          <w:szCs w:val="16"/>
          <w:lang w:val="en-US"/>
        </w:rPr>
        <w:t>Body text. SPW 2017 is intended to bring together a broad range of scientists, engineers and newcomers in the field of single-photon generation and detection for fundamental science and applications. Researchers from universities, industry, and government will present their latest developments in single-photon devices and methods with a view toward improved performance and new application areas. It will be an exciting opportunity for those interested in single-photon technologies to learn about the state-of-the-art and to foster continuing partnerships with others seeking to advance the capabilities of such technologies. One day of the workshop will be devoted to lab-tours on the campus of NIST.</w:t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1905" distL="0" distR="8890">
            <wp:extent cx="2105660" cy="1579245"/>
            <wp:effectExtent l="0" t="0" r="0" b="0"/>
            <wp:docPr id="1" name="Picture 5" descr="Single Photon Workshop 2017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Single Photon Workshop 2017 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2" w:right="562" w:hanging="0"/>
        <w:jc w:val="both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Normal"/>
        <w:ind w:left="562" w:right="562" w:hanging="0"/>
        <w:jc w:val="both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Normal"/>
        <w:ind w:left="562" w:right="562" w:hanging="0"/>
        <w:jc w:val="both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Fig 1.</w:t>
      </w:r>
      <w:r>
        <w:rPr>
          <w:sz w:val="16"/>
          <w:szCs w:val="16"/>
          <w:lang w:val="en-US"/>
        </w:rPr>
        <w:t xml:space="preserve"> Figure caption: Times New Roman, 8 pt. The single photon workshop will be held in the week from July 31</w:t>
      </w:r>
      <w:r>
        <w:rPr>
          <w:sz w:val="16"/>
          <w:szCs w:val="16"/>
          <w:vertAlign w:val="superscript"/>
          <w:lang w:val="en-US"/>
        </w:rPr>
        <w:t>st</w:t>
      </w:r>
      <w:r>
        <w:rPr>
          <w:sz w:val="16"/>
          <w:szCs w:val="16"/>
          <w:lang w:val="en-US"/>
        </w:rPr>
        <w:t xml:space="preserve"> 2017 through August 4</w:t>
      </w:r>
      <w:r>
        <w:rPr>
          <w:sz w:val="16"/>
          <w:szCs w:val="16"/>
          <w:vertAlign w:val="superscript"/>
          <w:lang w:val="en-US"/>
        </w:rPr>
        <w:t>th</w:t>
      </w:r>
      <w:r>
        <w:rPr>
          <w:sz w:val="16"/>
          <w:szCs w:val="16"/>
          <w:lang w:val="en-US"/>
        </w:rPr>
        <w:t xml:space="preserve"> 2017 [1].</w:t>
      </w:r>
    </w:p>
    <w:p>
      <w:pPr>
        <w:pStyle w:val="Normal"/>
        <w:ind w:left="562" w:right="562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right="562" w:hanging="0"/>
        <w:jc w:val="both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Normal"/>
        <w:ind w:left="562" w:right="562" w:hanging="0"/>
        <w:jc w:val="both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Normal"/>
        <w:ind w:left="562" w:right="562" w:hanging="0"/>
        <w:jc w:val="both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Table 1: </w:t>
      </w:r>
      <w:r>
        <w:rPr>
          <w:sz w:val="16"/>
          <w:szCs w:val="16"/>
          <w:lang w:val="en-US"/>
        </w:rPr>
        <w:t>Workshop topics</w:t>
      </w:r>
    </w:p>
    <w:tbl>
      <w:tblPr>
        <w:tblStyle w:val="TableGrid"/>
        <w:tblW w:w="877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339"/>
        <w:gridCol w:w="2117"/>
      </w:tblGrid>
      <w:tr>
        <w:trPr/>
        <w:tc>
          <w:tcPr>
            <w:tcW w:w="2160" w:type="dxa"/>
            <w:tcBorders>
              <w:top w:val="nil"/>
              <w:left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Single Photon Detectors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b/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Single Photon Sources</w:t>
            </w:r>
          </w:p>
        </w:tc>
        <w:tc>
          <w:tcPr>
            <w:tcW w:w="2339" w:type="dxa"/>
            <w:tcBorders>
              <w:top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b/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Metrology</w:t>
            </w:r>
          </w:p>
        </w:tc>
        <w:tc>
          <w:tcPr>
            <w:tcW w:w="2117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b/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Applications of single photon technologies</w:t>
            </w:r>
          </w:p>
        </w:tc>
      </w:tr>
      <w:tr>
        <w:trPr/>
        <w:tc>
          <w:tcPr>
            <w:tcW w:w="2160" w:type="dxa"/>
            <w:tcBorders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Single photon avalanche detectors</w:t>
            </w:r>
          </w:p>
        </w:tc>
        <w:tc>
          <w:tcPr>
            <w:tcW w:w="216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Spontaneous parametric downconversion and four-wave-mixing</w:t>
            </w:r>
          </w:p>
        </w:tc>
        <w:tc>
          <w:tcPr>
            <w:tcW w:w="2339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color w:val="000000"/>
                <w:sz w:val="18"/>
                <w:lang w:val="en-US" w:eastAsia="en-US"/>
              </w:rPr>
              <w:t>Methods for characterizing single-photon detectors and sources</w:t>
            </w:r>
          </w:p>
        </w:tc>
        <w:tc>
          <w:tcPr>
            <w:tcW w:w="2117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color w:val="000000"/>
                <w:sz w:val="18"/>
                <w:lang w:val="en-US" w:eastAsia="en-US"/>
              </w:rPr>
              <w:t>Quantum communication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Superconducting single photon detectors</w:t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NV centers</w:t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Quantum Sensing</w:t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Optical quantum-state generation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Single Photon Detector arrays</w:t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Quantum Dots</w:t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Weak measurements</w:t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Quantum random number generators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Photon-number-resolving detectors</w:t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On-demand single-photon sources</w:t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Novel measurement schemes</w:t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Biology/Chemistry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Integrated Single Photon Detectors</w:t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color w:val="000000"/>
                <w:sz w:val="18"/>
                <w:lang w:val="en-US" w:eastAsia="en-US"/>
              </w:rPr>
              <w:t>Integrated single-photon sources</w:t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>Telecom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sz w:val="18"/>
                <w:lang w:val="en-US"/>
              </w:rPr>
            </w:pPr>
            <w:r>
              <w:rPr>
                <w:color w:val="000000"/>
                <w:sz w:val="18"/>
                <w:lang w:val="en-US" w:eastAsia="en-US"/>
              </w:rPr>
              <w:t>Entangled photon-pair sources. </w:t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/>
              </w:rPr>
              <w:t>Imaging and ranging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1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33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000000"/>
                <w:sz w:val="18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</w:r>
          </w:p>
        </w:tc>
        <w:tc>
          <w:tcPr>
            <w:tcW w:w="211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18"/>
                <w:lang w:val="en-US"/>
              </w:rPr>
            </w:pPr>
            <w:r>
              <w:rPr>
                <w:color w:val="000000"/>
                <w:sz w:val="18"/>
                <w:lang w:val="en-US" w:eastAsia="en-US"/>
              </w:rPr>
              <w:t>Spectroscopy</w:t>
            </w:r>
          </w:p>
        </w:tc>
      </w:tr>
    </w:tbl>
    <w:p>
      <w:pPr>
        <w:pStyle w:val="Normal"/>
        <w:spacing w:before="0" w:after="120"/>
        <w:ind w:right="562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20"/>
        <w:ind w:right="562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20"/>
        <w:ind w:right="562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20"/>
        <w:ind w:right="562" w:hanging="0"/>
        <w:jc w:val="both"/>
        <w:rPr>
          <w:b/>
          <w:b/>
          <w:lang w:val="en-US"/>
        </w:rPr>
      </w:pPr>
      <w:r>
        <w:rPr>
          <w:b/>
          <w:lang w:val="en-US"/>
        </w:rPr>
        <w:t>References</w:t>
      </w:r>
    </w:p>
    <w:p>
      <w:pPr>
        <w:pStyle w:val="Normal"/>
        <w:ind w:right="562" w:hanging="0"/>
        <w:jc w:val="both"/>
        <w:rPr>
          <w:lang w:val="en-US"/>
        </w:rPr>
      </w:pPr>
      <w:r>
        <w:rPr>
          <w:lang w:val="en-US"/>
        </w:rPr>
        <w:t>[1] We are looking forward to seeing you in Boulder!</w:t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ind w:firstLine="284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fr-F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KopfzeileZchn" w:customStyle="1">
    <w:name w:val="Kopf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TitelZchn" w:customStyle="1">
    <w:name w:val="Titel Zchn"/>
    <w:basedOn w:val="AbsatzStandardschriftart"/>
    <w:qFormat/>
    <w:rPr>
      <w:rFonts w:ascii="Times New Roman" w:hAnsi="Times New Roman" w:cs="Times New Roman"/>
      <w:b/>
      <w:bCs/>
      <w:sz w:val="20"/>
      <w:szCs w:val="20"/>
      <w:lang w:val="fr-FR"/>
    </w:rPr>
  </w:style>
  <w:style w:type="character" w:styleId="Strong">
    <w:name w:val="Strong"/>
    <w:basedOn w:val="AbsatzStandardschriftart"/>
    <w:qFormat/>
    <w:rPr>
      <w:b/>
      <w:bCs/>
    </w:rPr>
  </w:style>
  <w:style w:type="character" w:styleId="Emphasis">
    <w:name w:val="Emphasis"/>
    <w:basedOn w:val="AbsatzStandardschriftart"/>
    <w:qFormat/>
    <w:rPr>
      <w:i/>
      <w:iCs/>
    </w:rPr>
  </w:style>
  <w:style w:type="character" w:styleId="SprechblasentextZchn" w:customStyle="1">
    <w:name w:val="Sprechblasentext Zchn"/>
    <w:basedOn w:val="AbsatzStandardschriftart"/>
    <w:qFormat/>
    <w:rPr>
      <w:rFonts w:ascii="Tahoma" w:hAnsi="Tahoma" w:cs="Tahoma"/>
      <w:sz w:val="16"/>
      <w:szCs w:val="16"/>
      <w:lang w:val="fr-FR"/>
    </w:rPr>
  </w:style>
  <w:style w:type="character" w:styleId="FuzeileZchn" w:customStyle="1">
    <w:name w:val="Fuß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432a"/>
    <w:rPr>
      <w:rFonts w:ascii="Tahoma" w:hAnsi="Tahoma" w:cs="Tahoma"/>
      <w:sz w:val="16"/>
      <w:szCs w:val="16"/>
      <w:lang w:val="fr-FR" w:eastAsia="zh-CN"/>
    </w:rPr>
  </w:style>
  <w:style w:type="character" w:styleId="InternetLink">
    <w:name w:val="Internet Link"/>
    <w:basedOn w:val="DefaultParagraphFont"/>
    <w:uiPriority w:val="99"/>
    <w:unhideWhenUsed/>
    <w:rsid w:val="00aa1dda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466d6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fr-FR" w:eastAsia="zh-CN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/>
    <w:rPr/>
  </w:style>
  <w:style w:type="paragraph" w:styleId="MCBody" w:customStyle="1">
    <w:name w:val="MC Body"/>
    <w:next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eastAsia="zh-CN" w:val="en-US" w:bidi="ar-SA"/>
    </w:rPr>
  </w:style>
  <w:style w:type="paragraph" w:styleId="Sprechblasentext" w:customStyle="1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/>
    <w:rPr/>
  </w:style>
  <w:style w:type="paragraph" w:styleId="MCSectionSubhead" w:customStyle="1">
    <w:name w:val="MC Section Subhead"/>
    <w:basedOn w:val="MCBody"/>
    <w:qFormat/>
    <w:rsid w:val="00112e5f"/>
    <w:pPr>
      <w:suppressAutoHyphens w:val="false"/>
    </w:pPr>
    <w:rPr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432a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6d63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45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pw2017@nist.gov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332</Words>
  <CharactersWithSpaces>1896</CharactersWithSpaces>
  <Paragraphs>4</Paragraphs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2017-03-01T16:43:00Z</dcterms:created>
  <dc:creator>kueck01</dc:creator>
  <dc:description/>
  <dc:language>en-SG</dc:language>
  <cp:lastModifiedBy>Gladys Arrisueno</cp:lastModifiedBy>
  <cp:lastPrinted>2011-02-02T15:51:00Z</cp:lastPrinted>
  <dcterms:modified xsi:type="dcterms:W3CDTF">2017-03-01T16:43:00Z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