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D97706"/>
          <w:sz w:val="24"/>
          <w:szCs w:val="24"/>
        </w:rPr>
        <w:t xml:space="preserve">PROGETTO PATHS</w:t>
      </w:r>
    </w:p>
    <w:p>
      <w:pPr>
        <w:spacing w:after="400"/>
        <w:jc w:val="center"/>
      </w:pPr>
      <w:r>
        <w:rPr>
          <w:color w:val="777777"/>
          <w:sz w:val="20"/>
          <w:szCs w:val="20"/>
        </w:rPr>
        <w:t xml:space="preserve">Ministero dell'Istruzione e del Merito</w:t>
      </w:r>
    </w:p>
    <w:p>
      <w:pPr>
        <w:spacing w:after="120"/>
        <w:jc w:val="center"/>
      </w:pPr>
      <w:r>
        <w:rPr>
          <w:b/>
          <w:bCs/>
          <w:color w:val="2D3748"/>
          <w:sz w:val="44"/>
          <w:szCs w:val="44"/>
        </w:rPr>
        <w:t xml:space="preserve">L'IA entra in classe: che cosa fare?</w:t>
      </w:r>
    </w:p>
    <w:p>
      <w:pPr>
        <w:spacing w:after="60"/>
        <w:jc w:val="center"/>
      </w:pPr>
      <w:r>
        <w:rPr>
          <w:i/>
          <w:iCs/>
          <w:color w:val="C2410C"/>
          <w:sz w:val="26"/>
          <w:szCs w:val="26"/>
        </w:rPr>
        <w:t xml:space="preserve">Come utilizzare l'intelligenza artificiale a scuola</w:t>
      </w:r>
    </w:p>
    <w:p>
      <w:pPr>
        <w:spacing w:after="500"/>
        <w:jc w:val="center"/>
      </w:pPr>
      <w:r>
        <w:rPr>
          <w:i/>
          <w:iCs/>
          <w:color w:val="059669"/>
          <w:sz w:val="24"/>
          <w:szCs w:val="24"/>
        </w:rPr>
        <w:t xml:space="preserve">Piccoli Filosofi nell'Agorà del Futuro</w:t>
      </w:r>
    </w:p>
    <w:tbl>
      <w:tblPr>
        <w:tblW w:type="dxa" w:w="9572"/>
        <w:tblBorders>
          <w:top w:val="single" w:color="auto" w:sz="4"/>
          <w:left w:val="single" w:color="auto" w:sz="4"/>
          <w:bottom w:val="single" w:color="auto" w:sz="4"/>
          <w:right w:val="single" w:color="auto" w:sz="4"/>
          <w:insideH w:val="single" w:color="auto" w:sz="4"/>
          <w:insideV w:val="single" w:color="auto" w:sz="4"/>
        </w:tblBorders>
      </w:tblPr>
      <w:tblGrid>
        <w:gridCol w:w="3000"/>
        <w:gridCol w:w="6572"/>
      </w:tblGrid>
      <w:tr>
        <w:trPr>
          <w:tblHeader/>
        </w:trPr>
        <w:tc>
          <w:tcPr>
            <w:tcW w:type="dxa" w:w="3000"/>
            <w:shd w:fill="D97706" w:color="auto" w:val="clear"/>
            <w:tcMar>
              <w:top w:type="dxa" w:w="100"/>
              <w:left w:type="dxa" w:w="120"/>
              <w:bottom w:type="dxa" w:w="100"/>
              <w:right w:type="dxa" w:w="120"/>
            </w:tcMar>
            <w:vAlign w:val="center"/>
          </w:tcPr>
          <w:p>
            <w:r>
              <w:rPr>
                <w:b/>
                <w:bCs/>
                <w:color w:val="FFFFFF"/>
                <w:sz w:val="20"/>
                <w:szCs w:val="20"/>
              </w:rPr>
              <w:t xml:space="preserve"/>
            </w:r>
          </w:p>
        </w:tc>
        <w:tc>
          <w:tcPr>
            <w:tcW w:type="dxa" w:w="6572"/>
            <w:shd w:fill="D97706" w:color="auto" w:val="clear"/>
            <w:tcMar>
              <w:top w:type="dxa" w:w="100"/>
              <w:left w:type="dxa" w:w="120"/>
              <w:bottom w:type="dxa" w:w="100"/>
              <w:right w:type="dxa" w:w="120"/>
            </w:tcMar>
            <w:vAlign w:val="center"/>
          </w:tcPr>
          <w:p>
            <w:r>
              <w:rPr>
                <w:b/>
                <w:bCs/>
                <w:color w:val="FFFFFF"/>
                <w:sz w:val="20"/>
                <w:szCs w:val="20"/>
              </w:rPr>
              <w:t xml:space="preserve"/>
            </w:r>
          </w:p>
        </w:tc>
      </w:tr>
      <w:tr>
        <w:tc>
          <w:tcPr>
            <w:tcW w:type="dxa" w:w="3000"/>
            <w:shd w:fill="FFFDF7" w:color="auto" w:val="clear"/>
            <w:tcMar>
              <w:top w:type="dxa" w:w="100"/>
              <w:left w:type="dxa" w:w="120"/>
              <w:bottom w:type="dxa" w:w="100"/>
              <w:right w:type="dxa" w:w="120"/>
            </w:tcMar>
            <w:vAlign w:val="center"/>
          </w:tcPr>
          <w:p>
            <w:r>
              <w:rPr>
                <w:b w:val="false"/>
                <w:bCs w:val="false"/>
                <w:color w:val="2D3748"/>
                <w:sz w:val="20"/>
                <w:szCs w:val="20"/>
              </w:rPr>
              <w:t xml:space="preserve">Autrice</w:t>
            </w:r>
          </w:p>
        </w:tc>
        <w:tc>
          <w:tcPr>
            <w:tcW w:type="dxa" w:w="6572"/>
            <w:shd w:fill="FFFDF7" w:color="auto" w:val="clear"/>
            <w:tcMar>
              <w:top w:type="dxa" w:w="100"/>
              <w:left w:type="dxa" w:w="120"/>
              <w:bottom w:type="dxa" w:w="100"/>
              <w:right w:type="dxa" w:w="120"/>
            </w:tcMar>
            <w:vAlign w:val="center"/>
          </w:tcPr>
          <w:p>
            <w:r>
              <w:rPr>
                <w:b w:val="false"/>
                <w:bCs w:val="false"/>
                <w:color w:val="2D3748"/>
                <w:sz w:val="20"/>
                <w:szCs w:val="20"/>
              </w:rPr>
              <w:t xml:space="preserve">Docente Sonia Cercelletta</w:t>
            </w:r>
          </w:p>
        </w:tc>
      </w:tr>
      <w:tr>
        <w:tc>
          <w:tcPr>
            <w:tcW w:type="dxa" w:w="3000"/>
            <w:shd w:fill="FFFFFF" w:color="auto" w:val="clear"/>
            <w:tcMar>
              <w:top w:type="dxa" w:w="100"/>
              <w:left w:type="dxa" w:w="120"/>
              <w:bottom w:type="dxa" w:w="100"/>
              <w:right w:type="dxa" w:w="120"/>
            </w:tcMar>
            <w:vAlign w:val="center"/>
          </w:tcPr>
          <w:p>
            <w:r>
              <w:rPr>
                <w:b w:val="false"/>
                <w:bCs w:val="false"/>
                <w:color w:val="2D3748"/>
                <w:sz w:val="20"/>
                <w:szCs w:val="20"/>
              </w:rPr>
              <w:t xml:space="preserve">Destinatari</w:t>
            </w:r>
          </w:p>
        </w:tc>
        <w:tc>
          <w:tcPr>
            <w:tcW w:type="dxa" w:w="6572"/>
            <w:shd w:fill="FFFFFF" w:color="auto" w:val="clear"/>
            <w:tcMar>
              <w:top w:type="dxa" w:w="100"/>
              <w:left w:type="dxa" w:w="120"/>
              <w:bottom w:type="dxa" w:w="100"/>
              <w:right w:type="dxa" w:w="120"/>
            </w:tcMar>
            <w:vAlign w:val="center"/>
          </w:tcPr>
          <w:p>
            <w:r>
              <w:rPr>
                <w:b w:val="false"/>
                <w:bCs w:val="false"/>
                <w:color w:val="2D3748"/>
                <w:sz w:val="20"/>
                <w:szCs w:val="20"/>
              </w:rPr>
              <w:t xml:space="preserve">Scuola Primaria – Classe Quarta</w:t>
            </w:r>
          </w:p>
        </w:tc>
      </w:tr>
      <w:tr>
        <w:tc>
          <w:tcPr>
            <w:tcW w:type="dxa" w:w="3000"/>
            <w:shd w:fill="FFFDF7" w:color="auto" w:val="clear"/>
            <w:tcMar>
              <w:top w:type="dxa" w:w="100"/>
              <w:left w:type="dxa" w:w="120"/>
              <w:bottom w:type="dxa" w:w="100"/>
              <w:right w:type="dxa" w:w="120"/>
            </w:tcMar>
            <w:vAlign w:val="center"/>
          </w:tcPr>
          <w:p>
            <w:r>
              <w:rPr>
                <w:b w:val="false"/>
                <w:bCs w:val="false"/>
                <w:color w:val="2D3748"/>
                <w:sz w:val="20"/>
                <w:szCs w:val="20"/>
              </w:rPr>
              <w:t xml:space="preserve">Discipline coinvolte</w:t>
            </w:r>
          </w:p>
        </w:tc>
        <w:tc>
          <w:tcPr>
            <w:tcW w:type="dxa" w:w="6572"/>
            <w:shd w:fill="FFFDF7" w:color="auto" w:val="clear"/>
            <w:tcMar>
              <w:top w:type="dxa" w:w="100"/>
              <w:left w:type="dxa" w:w="120"/>
              <w:bottom w:type="dxa" w:w="100"/>
              <w:right w:type="dxa" w:w="120"/>
            </w:tcMar>
            <w:vAlign w:val="center"/>
          </w:tcPr>
          <w:p>
            <w:r>
              <w:rPr>
                <w:b w:val="false"/>
                <w:bCs w:val="false"/>
                <w:color w:val="2D3748"/>
                <w:sz w:val="20"/>
                <w:szCs w:val="20"/>
              </w:rPr>
              <w:t xml:space="preserve">Filosofia per Bambini (P4C), Italiano, Educazione Civica, Tecnologia/Informatica, Arte e Immagine</w:t>
            </w:r>
          </w:p>
        </w:tc>
      </w:tr>
      <w:tr>
        <w:tc>
          <w:tcPr>
            <w:tcW w:type="dxa" w:w="3000"/>
            <w:shd w:fill="FFFFFF" w:color="auto" w:val="clear"/>
            <w:tcMar>
              <w:top w:type="dxa" w:w="100"/>
              <w:left w:type="dxa" w:w="120"/>
              <w:bottom w:type="dxa" w:w="100"/>
              <w:right w:type="dxa" w:w="120"/>
            </w:tcMar>
            <w:vAlign w:val="center"/>
          </w:tcPr>
          <w:p>
            <w:r>
              <w:rPr>
                <w:b w:val="false"/>
                <w:bCs w:val="false"/>
                <w:color w:val="2D3748"/>
                <w:sz w:val="20"/>
                <w:szCs w:val="20"/>
              </w:rPr>
              <w:t xml:space="preserve">Durata complessiva</w:t>
            </w:r>
          </w:p>
        </w:tc>
        <w:tc>
          <w:tcPr>
            <w:tcW w:type="dxa" w:w="6572"/>
            <w:shd w:fill="FFFFFF" w:color="auto" w:val="clear"/>
            <w:tcMar>
              <w:top w:type="dxa" w:w="100"/>
              <w:left w:type="dxa" w:w="120"/>
              <w:bottom w:type="dxa" w:w="100"/>
              <w:right w:type="dxa" w:w="120"/>
            </w:tcMar>
            <w:vAlign w:val="center"/>
          </w:tcPr>
          <w:p>
            <w:r>
              <w:rPr>
                <w:b w:val="false"/>
                <w:bCs w:val="false"/>
                <w:color w:val="2D3748"/>
                <w:sz w:val="20"/>
                <w:szCs w:val="20"/>
              </w:rPr>
              <w:t xml:space="preserve">8 settimane (circa 20 ore di laboratorio)</w:t>
            </w:r>
          </w:p>
        </w:tc>
      </w:tr>
    </w:tbl>
    <w:p>
      <w:r>
        <w:br w:type="page"/>
      </w:r>
    </w:p>
    <w:p>
      <w:pPr>
        <w:pStyle w:val="Heading1"/>
        <w:spacing w:after="200" w:before="360"/>
      </w:pPr>
      <w:r>
        <w:t xml:space="preserve">Indice</w:t>
      </w:r>
    </w:p>
    <w:p>
      <w:pPr>
        <w:pStyle w:val="ListParagraph"/>
        <w:numPr>
          <w:ilvl w:val="0"/>
          <w:numId w:val="1"/>
        </w:numPr>
        <w:spacing w:after="100"/>
      </w:pPr>
      <w:r>
        <w:t xml:space="preserve">1. Presentazione e motivazione pedagogica</w:t>
      </w:r>
    </w:p>
    <w:p>
      <w:pPr>
        <w:pStyle w:val="ListParagraph"/>
        <w:numPr>
          <w:ilvl w:val="0"/>
          <w:numId w:val="1"/>
        </w:numPr>
        <w:spacing w:after="100"/>
      </w:pPr>
      <w:r>
        <w:t xml:space="preserve">2. Quadro delle competenze</w:t>
      </w:r>
    </w:p>
    <w:p>
      <w:pPr>
        <w:pStyle w:val="ListParagraph"/>
        <w:numPr>
          <w:ilvl w:val="0"/>
          <w:numId w:val="1"/>
        </w:numPr>
        <w:spacing w:after="100"/>
      </w:pPr>
      <w:r>
        <w:t xml:space="preserve">3. Obiettivi Specifici di Apprendimento (OSA)</w:t>
      </w:r>
    </w:p>
    <w:p>
      <w:pPr>
        <w:pStyle w:val="ListParagraph"/>
        <w:numPr>
          <w:ilvl w:val="0"/>
          <w:numId w:val="1"/>
        </w:numPr>
        <w:spacing w:after="100"/>
      </w:pPr>
      <w:r>
        <w:t xml:space="preserve">4. Integrazione dell'Intelligenza Artificiale: strumenti e ruolo del docente</w:t>
      </w:r>
    </w:p>
    <w:p>
      <w:pPr>
        <w:pStyle w:val="ListParagraph"/>
        <w:numPr>
          <w:ilvl w:val="0"/>
          <w:numId w:val="1"/>
        </w:numPr>
        <w:spacing w:after="100"/>
      </w:pPr>
      <w:r>
        <w:t xml:space="preserve">5. Articolazione operativa delle fasi didattiche</w:t>
      </w:r>
    </w:p>
    <w:p>
      <w:pPr>
        <w:pStyle w:val="ListParagraph"/>
        <w:numPr>
          <w:ilvl w:val="0"/>
          <w:numId w:val="1"/>
        </w:numPr>
        <w:spacing w:after="100"/>
      </w:pPr>
      <w:r>
        <w:t xml:space="preserve">6. Tabella di sintesi delle fasi didattiche</w:t>
      </w:r>
    </w:p>
    <w:p>
      <w:pPr>
        <w:pStyle w:val="ListParagraph"/>
        <w:numPr>
          <w:ilvl w:val="0"/>
          <w:numId w:val="1"/>
        </w:numPr>
        <w:spacing w:after="100"/>
      </w:pPr>
      <w:r>
        <w:t xml:space="preserve">7. Valutazione e autovalutazione</w:t>
      </w:r>
    </w:p>
    <w:p>
      <w:pPr>
        <w:pStyle w:val="ListParagraph"/>
        <w:numPr>
          <w:ilvl w:val="0"/>
          <w:numId w:val="1"/>
        </w:numPr>
        <w:spacing w:after="100"/>
      </w:pPr>
      <w:r>
        <w:t xml:space="preserve">8. Appendice operativa: kit di prompt per l'insegnante</w:t>
      </w:r>
    </w:p>
    <w:p>
      <w:pPr>
        <w:pStyle w:val="ListParagraph"/>
        <w:numPr>
          <w:ilvl w:val="0"/>
          <w:numId w:val="1"/>
        </w:numPr>
        <w:spacing w:after="100"/>
      </w:pPr>
      <w:r>
        <w:t xml:space="preserve">9. Storybook completo: Il Segreto della Montagna d'Oro</w:t>
      </w:r>
    </w:p>
    <w:p>
      <w:pPr>
        <w:pStyle w:val="ListParagraph"/>
        <w:numPr>
          <w:ilvl w:val="0"/>
          <w:numId w:val="1"/>
        </w:numPr>
        <w:spacing w:after="100"/>
      </w:pPr>
      <w:r>
        <w:t xml:space="preserve">10. Riferimenti bibliografici, sitografici e normativi</w:t>
      </w:r>
    </w:p>
    <w:p>
      <w:r>
        <w:br w:type="page"/>
      </w:r>
    </w:p>
    <w:p>
      <w:pPr>
        <w:pStyle w:val="Heading1"/>
        <w:spacing w:after="200" w:before="360"/>
      </w:pPr>
      <w:r>
        <w:t xml:space="preserve">1. Presentazione e motivazione pedagogica</w:t>
      </w:r>
    </w:p>
    <w:p>
      <w:pPr>
        <w:spacing w:after="160"/>
      </w:pPr>
      <w:r>
        <w:t xml:space="preserve">L'ingresso dell'Intelligenza Artificiale nella scuola primaria non è un elemento di attrazione tecnologica né una scorciatoia cognitiva. All'interno del quadro teorico del progetto PATHS, l'IA viene qui declinata come protesi maieutica e amplificatore narrativo.</w:t>
      </w:r>
    </w:p>
    <w:p>
      <w:pPr>
        <w:spacing w:after="160"/>
      </w:pPr>
      <w:r>
        <w:t xml:space="preserve">L'obiettivo fondante è usare le potenzialità dell'IA generativa (testo, immagini, sintesi vocale) per rendere concreti e visivamente coinvolgenti i grandi dilemmi del pensiero classico (Socrate e Aristotele), attraverso:</w:t>
      </w:r>
    </w:p>
    <w:p>
      <w:pPr>
        <w:pStyle w:val="ListParagraph"/>
        <w:numPr>
          <w:ilvl w:val="0"/>
          <w:numId w:val="1"/>
        </w:numPr>
        <w:spacing w:after="100"/>
      </w:pPr>
      <w:r>
        <w:t xml:space="preserve">Storybook interattivi a bivio (Choose Your Own Adventure)</w:t>
      </w:r>
    </w:p>
    <w:p>
      <w:pPr>
        <w:pStyle w:val="ListParagraph"/>
        <w:numPr>
          <w:ilvl w:val="0"/>
          <w:numId w:val="1"/>
        </w:numPr>
        <w:spacing w:after="100"/>
      </w:pPr>
      <w:r>
        <w:t xml:space="preserve">Simulatore di Avatar filosofici</w:t>
      </w:r>
    </w:p>
    <w:p>
      <w:pPr>
        <w:pStyle w:val="ListParagraph"/>
        <w:numPr>
          <w:ilvl w:val="0"/>
          <w:numId w:val="1"/>
        </w:numPr>
        <w:spacing w:after="100"/>
      </w:pPr>
      <w:r>
        <w:t xml:space="preserve">Gioco di simulazione etica "La Bilancia delle Scelte"</w:t>
      </w:r>
    </w:p>
    <w:p>
      <w:pPr>
        <w:spacing w:after="160"/>
      </w:pPr>
      <w:r>
        <w:t xml:space="preserve">I bambini vengono guidati nell'Agorà di classe per sviluppare pensiero critico, capacità argomentativa, ascolto empatico e gestione consapevole delle scelte quotidiane.</w:t>
      </w:r>
    </w:p>
    <w:p>
      <w:pPr>
        <w:pStyle w:val="Heading1"/>
        <w:spacing w:after="200" w:before="360"/>
      </w:pPr>
      <w:r>
        <w:t xml:space="preserve">2. Quadro delle competenze</w:t>
      </w:r>
    </w:p>
    <w:p>
      <w:pPr>
        <w:pStyle w:val="Heading2"/>
        <w:spacing w:after="160" w:before="280"/>
      </w:pPr>
      <w:r>
        <w:t xml:space="preserve">Competenze Chiave Europee (Raccomandazione del Consiglio, 2018)</w:t>
      </w:r>
    </w:p>
    <w:tbl>
      <w:tblPr>
        <w:tblW w:type="dxa" w:w="9572"/>
        <w:tblBorders>
          <w:top w:val="single" w:color="auto" w:sz="4"/>
          <w:left w:val="single" w:color="auto" w:sz="4"/>
          <w:bottom w:val="single" w:color="auto" w:sz="4"/>
          <w:right w:val="single" w:color="auto" w:sz="4"/>
          <w:insideH w:val="single" w:color="auto" w:sz="4"/>
          <w:insideV w:val="single" w:color="auto" w:sz="4"/>
        </w:tblBorders>
      </w:tblPr>
      <w:tblGrid>
        <w:gridCol w:w="3000"/>
        <w:gridCol w:w="6572"/>
      </w:tblGrid>
      <w:tr>
        <w:trPr>
          <w:tblHeader/>
        </w:trPr>
        <w:tc>
          <w:tcPr>
            <w:tcW w:type="dxa" w:w="3000"/>
            <w:shd w:fill="D97706" w:color="auto" w:val="clear"/>
            <w:tcMar>
              <w:top w:type="dxa" w:w="100"/>
              <w:left w:type="dxa" w:w="120"/>
              <w:bottom w:type="dxa" w:w="100"/>
              <w:right w:type="dxa" w:w="120"/>
            </w:tcMar>
            <w:vAlign w:val="center"/>
          </w:tcPr>
          <w:p>
            <w:r>
              <w:rPr>
                <w:b/>
                <w:bCs/>
                <w:color w:val="FFFFFF"/>
                <w:sz w:val="20"/>
                <w:szCs w:val="20"/>
              </w:rPr>
              <w:t xml:space="preserve">Competenza</w:t>
            </w:r>
          </w:p>
        </w:tc>
        <w:tc>
          <w:tcPr>
            <w:tcW w:type="dxa" w:w="6572"/>
            <w:shd w:fill="D97706" w:color="auto" w:val="clear"/>
            <w:tcMar>
              <w:top w:type="dxa" w:w="100"/>
              <w:left w:type="dxa" w:w="120"/>
              <w:bottom w:type="dxa" w:w="100"/>
              <w:right w:type="dxa" w:w="120"/>
            </w:tcMar>
            <w:vAlign w:val="center"/>
          </w:tcPr>
          <w:p>
            <w:r>
              <w:rPr>
                <w:b/>
                <w:bCs/>
                <w:color w:val="FFFFFF"/>
                <w:sz w:val="20"/>
                <w:szCs w:val="20"/>
              </w:rPr>
              <w:t xml:space="preserve">Declinazione nell'UDA</w:t>
            </w:r>
          </w:p>
        </w:tc>
      </w:tr>
      <w:tr>
        <w:tc>
          <w:tcPr>
            <w:tcW w:type="dxa" w:w="3000"/>
            <w:shd w:fill="FFFDF7" w:color="auto" w:val="clear"/>
            <w:tcMar>
              <w:top w:type="dxa" w:w="100"/>
              <w:left w:type="dxa" w:w="120"/>
              <w:bottom w:type="dxa" w:w="100"/>
              <w:right w:type="dxa" w:w="120"/>
            </w:tcMar>
            <w:vAlign w:val="center"/>
          </w:tcPr>
          <w:p>
            <w:r>
              <w:rPr>
                <w:b w:val="false"/>
                <w:bCs w:val="false"/>
                <w:color w:val="2D3748"/>
                <w:sz w:val="20"/>
                <w:szCs w:val="20"/>
              </w:rPr>
              <w:t xml:space="preserve">Alfabetica funzionale</w:t>
            </w:r>
          </w:p>
        </w:tc>
        <w:tc>
          <w:tcPr>
            <w:tcW w:type="dxa" w:w="6572"/>
            <w:shd w:fill="FFFDF7" w:color="auto" w:val="clear"/>
            <w:tcMar>
              <w:top w:type="dxa" w:w="100"/>
              <w:left w:type="dxa" w:w="120"/>
              <w:bottom w:type="dxa" w:w="100"/>
              <w:right w:type="dxa" w:w="120"/>
            </w:tcMar>
            <w:vAlign w:val="center"/>
          </w:tcPr>
          <w:p>
            <w:r>
              <w:rPr>
                <w:b w:val="false"/>
                <w:bCs w:val="false"/>
                <w:color w:val="2D3748"/>
                <w:sz w:val="20"/>
                <w:szCs w:val="20"/>
              </w:rPr>
              <w:t xml:space="preserve">Esprimere opinioni motivate, argomentare nelle sessioni di Agorà, comprendere testi narrativo-filosofici</w:t>
            </w:r>
          </w:p>
        </w:tc>
      </w:tr>
      <w:tr>
        <w:tc>
          <w:tcPr>
            <w:tcW w:type="dxa" w:w="3000"/>
            <w:shd w:fill="FFFFFF" w:color="auto" w:val="clear"/>
            <w:tcMar>
              <w:top w:type="dxa" w:w="100"/>
              <w:left w:type="dxa" w:w="120"/>
              <w:bottom w:type="dxa" w:w="100"/>
              <w:right w:type="dxa" w:w="120"/>
            </w:tcMar>
            <w:vAlign w:val="center"/>
          </w:tcPr>
          <w:p>
            <w:r>
              <w:rPr>
                <w:b w:val="false"/>
                <w:bCs w:val="false"/>
                <w:color w:val="2D3748"/>
                <w:sz w:val="20"/>
                <w:szCs w:val="20"/>
              </w:rPr>
              <w:t xml:space="preserve">Digitale</w:t>
            </w:r>
          </w:p>
        </w:tc>
        <w:tc>
          <w:tcPr>
            <w:tcW w:type="dxa" w:w="6572"/>
            <w:shd w:fill="FFFFFF" w:color="auto" w:val="clear"/>
            <w:tcMar>
              <w:top w:type="dxa" w:w="100"/>
              <w:left w:type="dxa" w:w="120"/>
              <w:bottom w:type="dxa" w:w="100"/>
              <w:right w:type="dxa" w:w="120"/>
            </w:tcMar>
            <w:vAlign w:val="center"/>
          </w:tcPr>
          <w:p>
            <w:r>
              <w:rPr>
                <w:b w:val="false"/>
                <w:bCs w:val="false"/>
                <w:color w:val="2D3748"/>
                <w:sz w:val="20"/>
                <w:szCs w:val="20"/>
              </w:rPr>
              <w:t xml:space="preserve">Usare in modo critico i media digitali generati dall'IA; distinguere intelligenza umana e artificiale</w:t>
            </w:r>
          </w:p>
        </w:tc>
      </w:tr>
      <w:tr>
        <w:tc>
          <w:tcPr>
            <w:tcW w:type="dxa" w:w="3000"/>
            <w:shd w:fill="FFFDF7" w:color="auto" w:val="clear"/>
            <w:tcMar>
              <w:top w:type="dxa" w:w="100"/>
              <w:left w:type="dxa" w:w="120"/>
              <w:bottom w:type="dxa" w:w="100"/>
              <w:right w:type="dxa" w:w="120"/>
            </w:tcMar>
            <w:vAlign w:val="center"/>
          </w:tcPr>
          <w:p>
            <w:r>
              <w:rPr>
                <w:b w:val="false"/>
                <w:bCs w:val="false"/>
                <w:color w:val="2D3748"/>
                <w:sz w:val="20"/>
                <w:szCs w:val="20"/>
              </w:rPr>
              <w:t xml:space="preserve">Personale, sociale, imparare a imparare</w:t>
            </w:r>
          </w:p>
        </w:tc>
        <w:tc>
          <w:tcPr>
            <w:tcW w:type="dxa" w:w="6572"/>
            <w:shd w:fill="FFFDF7" w:color="auto" w:val="clear"/>
            <w:tcMar>
              <w:top w:type="dxa" w:w="100"/>
              <w:left w:type="dxa" w:w="120"/>
              <w:bottom w:type="dxa" w:w="100"/>
              <w:right w:type="dxa" w:w="120"/>
            </w:tcMar>
            <w:vAlign w:val="center"/>
          </w:tcPr>
          <w:p>
            <w:r>
              <w:rPr>
                <w:b w:val="false"/>
                <w:bCs w:val="false"/>
                <w:color w:val="2D3748"/>
                <w:sz w:val="20"/>
                <w:szCs w:val="20"/>
              </w:rPr>
              <w:t xml:space="preserve">Riflettere sulle emozioni, riconoscere il "Giusto Mezzo", coltivare l'amicizia autentica</w:t>
            </w:r>
          </w:p>
        </w:tc>
      </w:tr>
      <w:tr>
        <w:tc>
          <w:tcPr>
            <w:tcW w:type="dxa" w:w="3000"/>
            <w:shd w:fill="FFFFFF" w:color="auto" w:val="clear"/>
            <w:tcMar>
              <w:top w:type="dxa" w:w="100"/>
              <w:left w:type="dxa" w:w="120"/>
              <w:bottom w:type="dxa" w:w="100"/>
              <w:right w:type="dxa" w:w="120"/>
            </w:tcMar>
            <w:vAlign w:val="center"/>
          </w:tcPr>
          <w:p>
            <w:r>
              <w:rPr>
                <w:b w:val="false"/>
                <w:bCs w:val="false"/>
                <w:color w:val="2D3748"/>
                <w:sz w:val="20"/>
                <w:szCs w:val="20"/>
              </w:rPr>
              <w:t xml:space="preserve">In materia di cittadinanza</w:t>
            </w:r>
          </w:p>
        </w:tc>
        <w:tc>
          <w:tcPr>
            <w:tcW w:type="dxa" w:w="6572"/>
            <w:shd w:fill="FFFFFF" w:color="auto" w:val="clear"/>
            <w:tcMar>
              <w:top w:type="dxa" w:w="100"/>
              <w:left w:type="dxa" w:w="120"/>
              <w:bottom w:type="dxa" w:w="100"/>
              <w:right w:type="dxa" w:w="120"/>
            </w:tcMar>
            <w:vAlign w:val="center"/>
          </w:tcPr>
          <w:p>
            <w:r>
              <w:rPr>
                <w:b w:val="false"/>
                <w:bCs w:val="false"/>
                <w:color w:val="2D3748"/>
                <w:sz w:val="20"/>
                <w:szCs w:val="20"/>
              </w:rPr>
              <w:t xml:space="preserve">Partecipare a discussioni democratiche (P4C), formulare regole condivise, rispettare la pluralità delle idee</w:t>
            </w:r>
          </w:p>
        </w:tc>
      </w:tr>
    </w:tbl>
    <w:p>
      <w:pPr>
        <w:spacing w:after="200"/>
      </w:pPr>
    </w:p>
    <w:p>
      <w:pPr>
        <w:pStyle w:val="Heading2"/>
        <w:spacing w:after="160" w:before="280"/>
      </w:pPr>
      <w:r>
        <w:t xml:space="preserve">Traguardi per lo Sviluppo delle Competenze (Indicazioni Nazionali)</w:t>
      </w:r>
    </w:p>
    <w:p>
      <w:pPr>
        <w:spacing w:after="160"/>
      </w:pPr>
      <w:r>
        <w:rPr>
          <w:b/>
          <w:bCs/>
        </w:rPr>
        <w:t xml:space="preserve">Italiano — </w:t>
      </w:r>
      <w:r>
        <w:t xml:space="preserve">partecipa a scambi comunicativi rispettando i turni di parola; ascolta e comprende testi narrativi cogliendone senso globale e significati impliciti.</w:t>
      </w:r>
    </w:p>
    <w:p>
      <w:pPr>
        <w:spacing w:after="160"/>
      </w:pPr>
      <w:r>
        <w:rPr>
          <w:b/>
          <w:bCs/>
        </w:rPr>
        <w:t xml:space="preserve">Educazione Civica — </w:t>
      </w:r>
      <w:r>
        <w:t xml:space="preserve">sviluppa rispetto, collaborazione ed empatia; riflette sulle conseguenze delle proprie azioni e sulle scelte etiche.</w:t>
      </w:r>
    </w:p>
    <w:p>
      <w:pPr>
        <w:spacing w:after="160"/>
      </w:pPr>
      <w:r>
        <w:rPr>
          <w:b/>
          <w:bCs/>
        </w:rPr>
        <w:t xml:space="preserve">Tecnologia — </w:t>
      </w:r>
      <w:r>
        <w:t xml:space="preserve">esplora le potenzialità dei linguaggi digitali come supporto alla creatività e all'apprendimento.</w:t>
      </w:r>
    </w:p>
    <w:p>
      <w:pPr>
        <w:pStyle w:val="Heading1"/>
        <w:spacing w:after="200" w:before="360"/>
      </w:pPr>
      <w:r>
        <w:t xml:space="preserve">3. Obiettivi Specifici di Apprendimento (OSA)</w:t>
      </w:r>
    </w:p>
    <w:p>
      <w:pPr>
        <w:pStyle w:val="Heading2"/>
        <w:spacing w:after="160" w:before="280"/>
      </w:pPr>
      <w:r>
        <w:t xml:space="preserve">Conoscenze</w:t>
      </w:r>
    </w:p>
    <w:p>
      <w:pPr>
        <w:pStyle w:val="ListParagraph"/>
        <w:numPr>
          <w:ilvl w:val="0"/>
          <w:numId w:val="1"/>
        </w:numPr>
        <w:spacing w:after="100"/>
      </w:pPr>
      <w:r>
        <w:t xml:space="preserve">Le figure chiave della filosofia classica: Socrate (la meraviglia, la domanda) e Aristotele (la felicità, il giusto mezzo, l'amicizia)</w:t>
      </w:r>
    </w:p>
    <w:p>
      <w:pPr>
        <w:pStyle w:val="ListParagraph"/>
        <w:numPr>
          <w:ilvl w:val="0"/>
          <w:numId w:val="1"/>
        </w:numPr>
        <w:spacing w:after="100"/>
      </w:pPr>
      <w:r>
        <w:t xml:space="preserve">Il "Giusto Mezzo" come equilibrio tra gli estremi del Troppo e del Poco</w:t>
      </w:r>
    </w:p>
    <w:p>
      <w:pPr>
        <w:pStyle w:val="ListParagraph"/>
        <w:numPr>
          <w:ilvl w:val="0"/>
          <w:numId w:val="1"/>
        </w:numPr>
        <w:spacing w:after="100"/>
      </w:pPr>
      <w:r>
        <w:t xml:space="preserve">I tre livelli dell'amicizia: utile (scambio), dilettevole (gioco), autentica (cuore)</w:t>
      </w:r>
    </w:p>
    <w:p>
      <w:pPr>
        <w:pStyle w:val="ListParagraph"/>
        <w:numPr>
          <w:ilvl w:val="0"/>
          <w:numId w:val="1"/>
        </w:numPr>
        <w:spacing w:after="100"/>
      </w:pPr>
      <w:r>
        <w:t xml:space="preserve">Funzionamento concettuale base di un modello di IA generativa (prompt, dati di input, scelte multiple)</w:t>
      </w:r>
    </w:p>
    <w:p>
      <w:pPr>
        <w:pStyle w:val="Heading2"/>
        <w:spacing w:after="160" w:before="280"/>
      </w:pPr>
      <w:r>
        <w:t xml:space="preserve">Abilità</w:t>
      </w:r>
    </w:p>
    <w:p>
      <w:pPr>
        <w:pStyle w:val="ListParagraph"/>
        <w:numPr>
          <w:ilvl w:val="0"/>
          <w:numId w:val="1"/>
        </w:numPr>
        <w:spacing w:after="100"/>
      </w:pPr>
      <w:r>
        <w:t xml:space="preserve">Argomentare la propria posizione in una discussione guidata (Agorà/P4C)</w:t>
      </w:r>
    </w:p>
    <w:p>
      <w:pPr>
        <w:pStyle w:val="ListParagraph"/>
        <w:numPr>
          <w:ilvl w:val="0"/>
          <w:numId w:val="1"/>
        </w:numPr>
        <w:spacing w:after="100"/>
      </w:pPr>
      <w:r>
        <w:t xml:space="preserve">Analizzare uno scenario etico quotidiano e individuare la scelta di equilibrio</w:t>
      </w:r>
    </w:p>
    <w:p>
      <w:pPr>
        <w:pStyle w:val="ListParagraph"/>
        <w:numPr>
          <w:ilvl w:val="0"/>
          <w:numId w:val="1"/>
        </w:numPr>
        <w:spacing w:after="100"/>
      </w:pPr>
      <w:r>
        <w:t xml:space="preserve">Collaborare alla creazione di cartelloni filosofici e allo storybook di classe</w:t>
      </w:r>
    </w:p>
    <w:p>
      <w:pPr>
        <w:pStyle w:val="ListParagraph"/>
        <w:numPr>
          <w:ilvl w:val="0"/>
          <w:numId w:val="1"/>
        </w:numPr>
        <w:spacing w:after="100"/>
      </w:pPr>
      <w:r>
        <w:t xml:space="preserve">Interagire attivamente con gli avatar filosofici, ponendo domande pertinenti e valutando le risposte</w:t>
      </w:r>
    </w:p>
    <w:p>
      <w:pPr>
        <w:pStyle w:val="Heading1"/>
        <w:spacing w:after="200" w:before="360"/>
      </w:pPr>
      <w:r>
        <w:t xml:space="preserve">4. Integrazione dell'Intelligenza Artificiale: strumenti e ruolo del docente</w:t>
      </w:r>
    </w:p>
    <w:p>
      <w:pPr>
        <w:spacing w:after="160"/>
      </w:pPr>
      <w:r>
        <w:t xml:space="preserve">L'insegnante impiega l'IA Generativa in fase di progettazione, erogazione e laboratorio, mantenendo sempre la regia pedagogica:</w:t>
      </w:r>
    </w:p>
    <w:tbl>
      <w:tblPr>
        <w:tblW w:type="dxa" w:w="9572"/>
        <w:tblBorders>
          <w:top w:val="single" w:color="auto" w:sz="4"/>
          <w:left w:val="single" w:color="auto" w:sz="4"/>
          <w:bottom w:val="single" w:color="auto" w:sz="4"/>
          <w:right w:val="single" w:color="auto" w:sz="4"/>
          <w:insideH w:val="single" w:color="auto" w:sz="4"/>
          <w:insideV w:val="single" w:color="auto" w:sz="4"/>
        </w:tblBorders>
      </w:tblPr>
      <w:tblGrid>
        <w:gridCol w:w="3200"/>
        <w:gridCol w:w="6372"/>
      </w:tblGrid>
      <w:tr>
        <w:trPr>
          <w:tblHeader/>
        </w:trPr>
        <w:tc>
          <w:tcPr>
            <w:tcW w:type="dxa" w:w="3200"/>
            <w:shd w:fill="D97706" w:color="auto" w:val="clear"/>
            <w:tcMar>
              <w:top w:type="dxa" w:w="100"/>
              <w:left w:type="dxa" w:w="120"/>
              <w:bottom w:type="dxa" w:w="100"/>
              <w:right w:type="dxa" w:w="120"/>
            </w:tcMar>
            <w:vAlign w:val="center"/>
          </w:tcPr>
          <w:p>
            <w:r>
              <w:rPr>
                <w:b/>
                <w:bCs/>
                <w:color w:val="FFFFFF"/>
                <w:sz w:val="20"/>
                <w:szCs w:val="20"/>
              </w:rPr>
              <w:t xml:space="preserve">Strumento IA</w:t>
            </w:r>
          </w:p>
        </w:tc>
        <w:tc>
          <w:tcPr>
            <w:tcW w:type="dxa" w:w="6372"/>
            <w:shd w:fill="D97706" w:color="auto" w:val="clear"/>
            <w:tcMar>
              <w:top w:type="dxa" w:w="100"/>
              <w:left w:type="dxa" w:w="120"/>
              <w:bottom w:type="dxa" w:w="100"/>
              <w:right w:type="dxa" w:w="120"/>
            </w:tcMar>
            <w:vAlign w:val="center"/>
          </w:tcPr>
          <w:p>
            <w:r>
              <w:rPr>
                <w:b/>
                <w:bCs/>
                <w:color w:val="FFFFFF"/>
                <w:sz w:val="20"/>
                <w:szCs w:val="20"/>
              </w:rPr>
              <w:t xml:space="preserve">Funzione</w:t>
            </w:r>
          </w:p>
        </w:tc>
      </w:tr>
      <w:tr>
        <w:tc>
          <w:tcPr>
            <w:tcW w:type="dxa" w:w="3200"/>
            <w:shd w:fill="FFFDF7" w:color="auto" w:val="clear"/>
            <w:tcMar>
              <w:top w:type="dxa" w:w="100"/>
              <w:left w:type="dxa" w:w="120"/>
              <w:bottom w:type="dxa" w:w="100"/>
              <w:right w:type="dxa" w:w="120"/>
            </w:tcMar>
            <w:vAlign w:val="center"/>
          </w:tcPr>
          <w:p>
            <w:r>
              <w:rPr>
                <w:b w:val="false"/>
                <w:bCs w:val="false"/>
                <w:color w:val="2D3748"/>
                <w:sz w:val="20"/>
                <w:szCs w:val="20"/>
              </w:rPr>
              <w:t xml:space="preserve">Storybook interattivi multimediali (Choose Your Own Adventure)</w:t>
            </w:r>
          </w:p>
        </w:tc>
        <w:tc>
          <w:tcPr>
            <w:tcW w:type="dxa" w:w="6372"/>
            <w:shd w:fill="FFFDF7" w:color="auto" w:val="clear"/>
            <w:tcMar>
              <w:top w:type="dxa" w:w="100"/>
              <w:left w:type="dxa" w:w="120"/>
              <w:bottom w:type="dxa" w:w="100"/>
              <w:right w:type="dxa" w:w="120"/>
            </w:tcMar>
            <w:vAlign w:val="center"/>
          </w:tcPr>
          <w:p>
            <w:r>
              <w:rPr>
                <w:b w:val="false"/>
                <w:bCs w:val="false"/>
                <w:color w:val="2D3748"/>
                <w:sz w:val="20"/>
                <w:szCs w:val="20"/>
              </w:rPr>
              <w:t xml:space="preserve">Illustrazioni evocative dei racconti aristotelici (La Montagna d'Oro, La Bilancia Magica, Il Fiore dei Tre Amici), ramificazione delle scelte, sintesi vocale differenziata</w:t>
            </w:r>
          </w:p>
        </w:tc>
      </w:tr>
      <w:tr>
        <w:tc>
          <w:tcPr>
            <w:tcW w:type="dxa" w:w="3200"/>
            <w:shd w:fill="FFFFFF" w:color="auto" w:val="clear"/>
            <w:tcMar>
              <w:top w:type="dxa" w:w="100"/>
              <w:left w:type="dxa" w:w="120"/>
              <w:bottom w:type="dxa" w:w="100"/>
              <w:right w:type="dxa" w:w="120"/>
            </w:tcMar>
            <w:vAlign w:val="center"/>
          </w:tcPr>
          <w:p>
            <w:r>
              <w:rPr>
                <w:b w:val="false"/>
                <w:bCs w:val="false"/>
                <w:color w:val="2D3748"/>
                <w:sz w:val="20"/>
                <w:szCs w:val="20"/>
              </w:rPr>
              <w:t xml:space="preserve">Agorà delle Domande &amp; Avatar Filosofici</w:t>
            </w:r>
          </w:p>
        </w:tc>
        <w:tc>
          <w:tcPr>
            <w:tcW w:type="dxa" w:w="6372"/>
            <w:shd w:fill="FFFFFF" w:color="auto" w:val="clear"/>
            <w:tcMar>
              <w:top w:type="dxa" w:w="100"/>
              <w:left w:type="dxa" w:w="120"/>
              <w:bottom w:type="dxa" w:w="100"/>
              <w:right w:type="dxa" w:w="120"/>
            </w:tcMar>
            <w:vAlign w:val="center"/>
          </w:tcPr>
          <w:p>
            <w:r>
              <w:rPr>
                <w:b w:val="false"/>
                <w:bCs w:val="false"/>
                <w:color w:val="2D3748"/>
                <w:sz w:val="20"/>
                <w:szCs w:val="20"/>
              </w:rPr>
              <w:t xml:space="preserve">Simulazione di ruolo (Socrate e Aristotele) con indovinelli e contro-domande maieutiche proiettate alla LIM</w:t>
            </w:r>
          </w:p>
        </w:tc>
      </w:tr>
      <w:tr>
        <w:tc>
          <w:tcPr>
            <w:tcW w:type="dxa" w:w="3200"/>
            <w:shd w:fill="FFFDF7" w:color="auto" w:val="clear"/>
            <w:tcMar>
              <w:top w:type="dxa" w:w="100"/>
              <w:left w:type="dxa" w:w="120"/>
              <w:bottom w:type="dxa" w:w="100"/>
              <w:right w:type="dxa" w:w="120"/>
            </w:tcMar>
            <w:vAlign w:val="center"/>
          </w:tcPr>
          <w:p>
            <w:r>
              <w:rPr>
                <w:b w:val="false"/>
                <w:bCs w:val="false"/>
                <w:color w:val="2D3748"/>
                <w:sz w:val="20"/>
                <w:szCs w:val="20"/>
              </w:rPr>
              <w:t xml:space="preserve">Filo-Game "La Bilancia delle Scelte"</w:t>
            </w:r>
          </w:p>
        </w:tc>
        <w:tc>
          <w:tcPr>
            <w:tcW w:type="dxa" w:w="6372"/>
            <w:shd w:fill="FFFDF7" w:color="auto" w:val="clear"/>
            <w:tcMar>
              <w:top w:type="dxa" w:w="100"/>
              <w:left w:type="dxa" w:w="120"/>
              <w:bottom w:type="dxa" w:w="100"/>
              <w:right w:type="dxa" w:w="120"/>
            </w:tcMar>
            <w:vAlign w:val="center"/>
          </w:tcPr>
          <w:p>
            <w:r>
              <w:rPr>
                <w:b w:val="false"/>
                <w:bCs w:val="false"/>
                <w:color w:val="2D3748"/>
                <w:sz w:val="20"/>
                <w:szCs w:val="20"/>
              </w:rPr>
              <w:t xml:space="preserve">Generazione dinamica di Carte Dilemma su situazioni reali (ricreazione, videogiochi, gestione della rabbia)</w:t>
            </w:r>
          </w:p>
        </w:tc>
      </w:tr>
    </w:tbl>
    <w:p>
      <w:r>
        <w:br w:type="page"/>
      </w:r>
    </w:p>
    <w:p>
      <w:pPr>
        <w:pStyle w:val="Heading1"/>
        <w:spacing w:after="200" w:before="360"/>
      </w:pPr>
      <w:r>
        <w:t xml:space="preserve">5. Articolazione operativa delle fasi didattiche</w:t>
      </w:r>
    </w:p>
    <w:p>
      <w:pPr>
        <w:pStyle w:val="Heading2"/>
        <w:spacing w:after="160" w:before="280"/>
      </w:pPr>
      <w:r>
        <w:t xml:space="preserve">Fase 1 — Socrate e l'Arte del Divenire Meravigliati</w:t>
      </w:r>
    </w:p>
    <w:p>
      <w:pPr>
        <w:spacing w:after="160"/>
      </w:pPr>
      <w:r>
        <w:rPr>
          <w:i/>
          <w:iCs/>
          <w:color w:val="777777"/>
        </w:rPr>
        <w:t xml:space="preserve">Settimane 1-2 · 4 ore (2 sessioni da 2h)</w:t>
      </w:r>
    </w:p>
    <w:p>
      <w:pPr>
        <w:spacing w:after="160"/>
      </w:pPr>
      <w:r>
        <w:rPr>
          <w:b/>
          <w:bCs/>
        </w:rPr>
        <w:t xml:space="preserve">Oggetto filosofico: </w:t>
      </w:r>
      <w:r>
        <w:t xml:space="preserve">la meraviglia, l'ignoranza socratica ("so di non sapere"), il valore della domanda.</w:t>
      </w:r>
    </w:p>
    <w:p>
      <w:pPr>
        <w:spacing w:after="160"/>
      </w:pPr>
      <w:r>
        <w:rPr>
          <w:b/>
          <w:bCs/>
        </w:rPr>
        <w:t xml:space="preserve">Attività: </w:t>
      </w:r>
      <w:r>
        <w:t xml:space="preserve">proiezione dell'Avatar di Socrate che sfida la classe; allestimento del cerchio dell'Agorà; creazione del "Pozzo dei Perché" (ogni bambino deposita una domanda aperta); l'IA trasforma le domande in indovinelli visivi e poetici proiettati alla LIM.</w:t>
      </w:r>
    </w:p>
    <w:p>
      <w:pPr>
        <w:pStyle w:val="Heading2"/>
        <w:spacing w:after="160" w:before="280"/>
      </w:pPr>
      <w:r>
        <w:t xml:space="preserve">Fase 2 — Aristotele e la Montagna della Felicità</w:t>
      </w:r>
    </w:p>
    <w:p>
      <w:pPr>
        <w:spacing w:after="160"/>
      </w:pPr>
      <w:r>
        <w:rPr>
          <w:i/>
          <w:iCs/>
          <w:color w:val="777777"/>
        </w:rPr>
        <w:t xml:space="preserve">Settimane 3-4 · 4 ore (2 sessioni da 2h)</w:t>
      </w:r>
    </w:p>
    <w:p>
      <w:pPr>
        <w:spacing w:after="160"/>
      </w:pPr>
      <w:r>
        <w:rPr>
          <w:b/>
          <w:bCs/>
        </w:rPr>
        <w:t xml:space="preserve">Oggetto filosofico: </w:t>
      </w:r>
      <w:r>
        <w:t xml:space="preserve">la Felicità (Eudaimonia) e il percorso della Ragione.</w:t>
      </w:r>
    </w:p>
    <w:p>
      <w:pPr>
        <w:spacing w:after="160"/>
      </w:pPr>
      <w:r>
        <w:rPr>
          <w:b/>
          <w:bCs/>
        </w:rPr>
        <w:t xml:space="preserve">Attività: </w:t>
      </w:r>
      <w:r>
        <w:t xml:space="preserve">fruizione dello storybook interattivo "Il Segreto della Montagna d'Oro" (Aris scala la montagna con lo zaino della Ragione); al bivio la classe sceglie tra scelte egoistiche o altruiste, osservando il peso dello zaino; realizzazione del cartellone "Il Viaggio verso la Felicità".</w:t>
      </w:r>
    </w:p>
    <w:p>
      <w:pPr>
        <w:pStyle w:val="Heading2"/>
        <w:spacing w:after="160" w:before="280"/>
      </w:pPr>
      <w:r>
        <w:t xml:space="preserve">Fase 3 — Re Equilibrio e il Giusto Mezzo</w:t>
      </w:r>
    </w:p>
    <w:p>
      <w:pPr>
        <w:spacing w:after="160"/>
      </w:pPr>
      <w:r>
        <w:rPr>
          <w:i/>
          <w:iCs/>
          <w:color w:val="777777"/>
        </w:rPr>
        <w:t xml:space="preserve">Settimane 5-6 · 4 ore (2 sessioni da 2h)</w:t>
      </w:r>
    </w:p>
    <w:p>
      <w:pPr>
        <w:spacing w:after="160"/>
      </w:pPr>
      <w:r>
        <w:rPr>
          <w:b/>
          <w:bCs/>
        </w:rPr>
        <w:t xml:space="preserve">Oggetto filosofico: </w:t>
      </w:r>
      <w:r>
        <w:t xml:space="preserve">la virtù aristotelica come "Giusto Mezzo" tra gli estremi del Troppo e del Poco.</w:t>
      </w:r>
    </w:p>
    <w:p>
      <w:pPr>
        <w:spacing w:after="160"/>
      </w:pPr>
      <w:r>
        <w:rPr>
          <w:b/>
          <w:bCs/>
        </w:rPr>
        <w:t xml:space="preserve">Attività: </w:t>
      </w:r>
      <w:r>
        <w:t xml:space="preserve">fruizione dello storybook "La Bilancia Magica di Re Equilibrio" (Vigliacco, Spericolato, Coraggioso); Filo-Game "La Bilancia delle Scelte" a squadre con Carte dei Dilemmi Etici sui tre piatti; cartellone "L'Equilibrio delle Scelte" e dibattito maieutico.</w:t>
      </w:r>
    </w:p>
    <w:p>
      <w:pPr>
        <w:pStyle w:val="Heading2"/>
        <w:spacing w:after="160" w:before="280"/>
      </w:pPr>
      <w:r>
        <w:t xml:space="preserve">Fase 4 — Il Fiore dei Tre Amici e l'Agorà Finale</w:t>
      </w:r>
    </w:p>
    <w:p>
      <w:pPr>
        <w:spacing w:after="160"/>
      </w:pPr>
      <w:r>
        <w:rPr>
          <w:i/>
          <w:iCs/>
          <w:color w:val="777777"/>
        </w:rPr>
        <w:t xml:space="preserve">Settimane 7-8 · 4 ore (2 sessioni da 2h)</w:t>
      </w:r>
    </w:p>
    <w:p>
      <w:pPr>
        <w:spacing w:after="160"/>
      </w:pPr>
      <w:r>
        <w:rPr>
          <w:b/>
          <w:bCs/>
        </w:rPr>
        <w:t xml:space="preserve">Oggetto filosofico: </w:t>
      </w:r>
      <w:r>
        <w:t xml:space="preserve">l'amicizia secondo Aristotele (utilità, piacere, virtù/cuore).</w:t>
      </w:r>
    </w:p>
    <w:p>
      <w:pPr>
        <w:spacing w:after="160"/>
      </w:pPr>
      <w:r>
        <w:rPr>
          <w:b/>
          <w:bCs/>
        </w:rPr>
        <w:t xml:space="preserve">Attività: </w:t>
      </w:r>
      <w:r>
        <w:t xml:space="preserve">fruizione dello storybook "Il Fiore dei Tre Amici" (petali: Gioco, Scambio, Cuore); cartellone "Il Fiore degli Amici" con dediche personali per il Petalo del Cuore; assemblaggio dell'E-book digitale interattivo di classe.</w:t>
      </w:r>
    </w:p>
    <w:p>
      <w:r>
        <w:br w:type="page"/>
      </w:r>
    </w:p>
    <w:p>
      <w:pPr>
        <w:pStyle w:val="Heading1"/>
        <w:spacing w:after="200" w:before="360"/>
      </w:pPr>
      <w:r>
        <w:t xml:space="preserve">6. Tabella di sintesi delle fasi didattiche</w:t>
      </w:r>
    </w:p>
    <w:tbl>
      <w:tblPr>
        <w:tblW w:type="dxa" w:w="9372"/>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100"/>
        <w:gridCol w:w="2100"/>
        <w:gridCol w:w="2572"/>
      </w:tblGrid>
      <w:tr>
        <w:trPr>
          <w:tblHeader/>
        </w:trPr>
        <w:tc>
          <w:tcPr>
            <w:tcW w:type="dxa" w:w="700"/>
            <w:shd w:fill="D97706" w:color="auto" w:val="clear"/>
            <w:tcMar>
              <w:top w:type="dxa" w:w="100"/>
              <w:left w:type="dxa" w:w="120"/>
              <w:bottom w:type="dxa" w:w="100"/>
              <w:right w:type="dxa" w:w="120"/>
            </w:tcMar>
            <w:vAlign w:val="center"/>
          </w:tcPr>
          <w:p>
            <w:r>
              <w:rPr>
                <w:b/>
                <w:bCs/>
                <w:color w:val="FFFFFF"/>
                <w:sz w:val="20"/>
                <w:szCs w:val="20"/>
              </w:rPr>
              <w:t xml:space="preserve">Fase</w:t>
            </w:r>
          </w:p>
        </w:tc>
        <w:tc>
          <w:tcPr>
            <w:tcW w:type="dxa" w:w="1900"/>
            <w:shd w:fill="D97706" w:color="auto" w:val="clear"/>
            <w:tcMar>
              <w:top w:type="dxa" w:w="100"/>
              <w:left w:type="dxa" w:w="120"/>
              <w:bottom w:type="dxa" w:w="100"/>
              <w:right w:type="dxa" w:w="120"/>
            </w:tcMar>
            <w:vAlign w:val="center"/>
          </w:tcPr>
          <w:p>
            <w:r>
              <w:rPr>
                <w:b/>
                <w:bCs/>
                <w:color w:val="FFFFFF"/>
                <w:sz w:val="20"/>
                <w:szCs w:val="20"/>
              </w:rPr>
              <w:t xml:space="preserve">Titolo &amp; Tematica</w:t>
            </w:r>
          </w:p>
        </w:tc>
        <w:tc>
          <w:tcPr>
            <w:tcW w:type="dxa" w:w="2100"/>
            <w:shd w:fill="D97706" w:color="auto" w:val="clear"/>
            <w:tcMar>
              <w:top w:type="dxa" w:w="100"/>
              <w:left w:type="dxa" w:w="120"/>
              <w:bottom w:type="dxa" w:w="100"/>
              <w:right w:type="dxa" w:w="120"/>
            </w:tcMar>
            <w:vAlign w:val="center"/>
          </w:tcPr>
          <w:p>
            <w:r>
              <w:rPr>
                <w:b/>
                <w:bCs/>
                <w:color w:val="FFFFFF"/>
                <w:sz w:val="20"/>
                <w:szCs w:val="20"/>
              </w:rPr>
              <w:t xml:space="preserve">Storybook</w:t>
            </w:r>
          </w:p>
        </w:tc>
        <w:tc>
          <w:tcPr>
            <w:tcW w:type="dxa" w:w="2100"/>
            <w:shd w:fill="D97706" w:color="auto" w:val="clear"/>
            <w:tcMar>
              <w:top w:type="dxa" w:w="100"/>
              <w:left w:type="dxa" w:w="120"/>
              <w:bottom w:type="dxa" w:w="100"/>
              <w:right w:type="dxa" w:w="120"/>
            </w:tcMar>
            <w:vAlign w:val="center"/>
          </w:tcPr>
          <w:p>
            <w:r>
              <w:rPr>
                <w:b/>
                <w:bCs/>
                <w:color w:val="FFFFFF"/>
                <w:sz w:val="20"/>
                <w:szCs w:val="20"/>
              </w:rPr>
              <w:t xml:space="preserve">Attività / Gioco</w:t>
            </w:r>
          </w:p>
        </w:tc>
        <w:tc>
          <w:tcPr>
            <w:tcW w:type="dxa" w:w="2572"/>
            <w:shd w:fill="D97706" w:color="auto" w:val="clear"/>
            <w:tcMar>
              <w:top w:type="dxa" w:w="100"/>
              <w:left w:type="dxa" w:w="120"/>
              <w:bottom w:type="dxa" w:w="100"/>
              <w:right w:type="dxa" w:w="120"/>
            </w:tcMar>
            <w:vAlign w:val="center"/>
          </w:tcPr>
          <w:p>
            <w:r>
              <w:rPr>
                <w:b/>
                <w:bCs/>
                <w:color w:val="FFFFFF"/>
                <w:sz w:val="20"/>
                <w:szCs w:val="20"/>
              </w:rPr>
              <w:t xml:space="preserve">Integrazione IA</w:t>
            </w:r>
          </w:p>
        </w:tc>
      </w:tr>
      <w:tr>
        <w:tc>
          <w:tcPr>
            <w:tcW w:type="dxa" w:w="700"/>
            <w:shd w:fill="FFFDF7" w:color="auto" w:val="clear"/>
            <w:tcMar>
              <w:top w:type="dxa" w:w="100"/>
              <w:left w:type="dxa" w:w="120"/>
              <w:bottom w:type="dxa" w:w="100"/>
              <w:right w:type="dxa" w:w="120"/>
            </w:tcMar>
            <w:vAlign w:val="center"/>
          </w:tcPr>
          <w:p>
            <w:r>
              <w:rPr>
                <w:b w:val="false"/>
                <w:bCs w:val="false"/>
                <w:color w:val="2D3748"/>
                <w:sz w:val="20"/>
                <w:szCs w:val="20"/>
              </w:rPr>
              <w:t xml:space="preserve">1</w:t>
            </w:r>
          </w:p>
        </w:tc>
        <w:tc>
          <w:tcPr>
            <w:tcW w:type="dxa" w:w="1900"/>
            <w:shd w:fill="FFFDF7" w:color="auto" w:val="clear"/>
            <w:tcMar>
              <w:top w:type="dxa" w:w="100"/>
              <w:left w:type="dxa" w:w="120"/>
              <w:bottom w:type="dxa" w:w="100"/>
              <w:right w:type="dxa" w:w="120"/>
            </w:tcMar>
            <w:vAlign w:val="center"/>
          </w:tcPr>
          <w:p>
            <w:r>
              <w:rPr>
                <w:b w:val="false"/>
                <w:bCs w:val="false"/>
                <w:color w:val="2D3748"/>
                <w:sz w:val="20"/>
                <w:szCs w:val="20"/>
              </w:rPr>
              <w:t xml:space="preserve">Socrate e la Meraviglia</w:t>
            </w:r>
          </w:p>
        </w:tc>
        <w:tc>
          <w:tcPr>
            <w:tcW w:type="dxa" w:w="2100"/>
            <w:shd w:fill="FFFDF7" w:color="auto" w:val="clear"/>
            <w:tcMar>
              <w:top w:type="dxa" w:w="100"/>
              <w:left w:type="dxa" w:w="120"/>
              <w:bottom w:type="dxa" w:w="100"/>
              <w:right w:type="dxa" w:w="120"/>
            </w:tcMar>
            <w:vAlign w:val="center"/>
          </w:tcPr>
          <w:p>
            <w:r>
              <w:rPr>
                <w:b w:val="false"/>
                <w:bCs w:val="false"/>
                <w:color w:val="2D3748"/>
                <w:sz w:val="20"/>
                <w:szCs w:val="20"/>
              </w:rPr>
              <w:t xml:space="preserve">Introduzione al dialogo maieutico socratico</w:t>
            </w:r>
          </w:p>
        </w:tc>
        <w:tc>
          <w:tcPr>
            <w:tcW w:type="dxa" w:w="2100"/>
            <w:shd w:fill="FFFDF7" w:color="auto" w:val="clear"/>
            <w:tcMar>
              <w:top w:type="dxa" w:w="100"/>
              <w:left w:type="dxa" w:w="120"/>
              <w:bottom w:type="dxa" w:w="100"/>
              <w:right w:type="dxa" w:w="120"/>
            </w:tcMar>
            <w:vAlign w:val="center"/>
          </w:tcPr>
          <w:p>
            <w:r>
              <w:rPr>
                <w:b w:val="false"/>
                <w:bCs w:val="false"/>
                <w:color w:val="2D3748"/>
                <w:sz w:val="20"/>
                <w:szCs w:val="20"/>
              </w:rPr>
              <w:t xml:space="preserve">Il Pozzo dei Perché — cerchio P4C</w:t>
            </w:r>
          </w:p>
        </w:tc>
        <w:tc>
          <w:tcPr>
            <w:tcW w:type="dxa" w:w="2572"/>
            <w:shd w:fill="FFFDF7" w:color="auto" w:val="clear"/>
            <w:tcMar>
              <w:top w:type="dxa" w:w="100"/>
              <w:left w:type="dxa" w:w="120"/>
              <w:bottom w:type="dxa" w:w="100"/>
              <w:right w:type="dxa" w:w="120"/>
            </w:tcMar>
            <w:vAlign w:val="center"/>
          </w:tcPr>
          <w:p>
            <w:r>
              <w:rPr>
                <w:b w:val="false"/>
                <w:bCs w:val="false"/>
                <w:color w:val="2D3748"/>
                <w:sz w:val="20"/>
                <w:szCs w:val="20"/>
              </w:rPr>
              <w:t xml:space="preserve">Avatar di Socrate ed indovinelli visivi</w:t>
            </w:r>
          </w:p>
        </w:tc>
      </w:tr>
      <w:tr>
        <w:tc>
          <w:tcPr>
            <w:tcW w:type="dxa" w:w="700"/>
            <w:shd w:fill="FFFFFF" w:color="auto" w:val="clear"/>
            <w:tcMar>
              <w:top w:type="dxa" w:w="100"/>
              <w:left w:type="dxa" w:w="120"/>
              <w:bottom w:type="dxa" w:w="100"/>
              <w:right w:type="dxa" w:w="120"/>
            </w:tcMar>
            <w:vAlign w:val="center"/>
          </w:tcPr>
          <w:p>
            <w:r>
              <w:rPr>
                <w:b w:val="false"/>
                <w:bCs w:val="false"/>
                <w:color w:val="2D3748"/>
                <w:sz w:val="20"/>
                <w:szCs w:val="20"/>
              </w:rPr>
              <w:t xml:space="preserve">2</w:t>
            </w:r>
          </w:p>
        </w:tc>
        <w:tc>
          <w:tcPr>
            <w:tcW w:type="dxa" w:w="1900"/>
            <w:shd w:fill="FFFFFF" w:color="auto" w:val="clear"/>
            <w:tcMar>
              <w:top w:type="dxa" w:w="100"/>
              <w:left w:type="dxa" w:w="120"/>
              <w:bottom w:type="dxa" w:w="100"/>
              <w:right w:type="dxa" w:w="120"/>
            </w:tcMar>
            <w:vAlign w:val="center"/>
          </w:tcPr>
          <w:p>
            <w:r>
              <w:rPr>
                <w:b w:val="false"/>
                <w:bCs w:val="false"/>
                <w:color w:val="2D3748"/>
                <w:sz w:val="20"/>
                <w:szCs w:val="20"/>
              </w:rPr>
              <w:t xml:space="preserve">La Felicità e la Ragione</w:t>
            </w:r>
          </w:p>
        </w:tc>
        <w:tc>
          <w:tcPr>
            <w:tcW w:type="dxa" w:w="2100"/>
            <w:shd w:fill="FFFFFF" w:color="auto" w:val="clear"/>
            <w:tcMar>
              <w:top w:type="dxa" w:w="100"/>
              <w:left w:type="dxa" w:w="120"/>
              <w:bottom w:type="dxa" w:w="100"/>
              <w:right w:type="dxa" w:w="120"/>
            </w:tcMar>
            <w:vAlign w:val="center"/>
          </w:tcPr>
          <w:p>
            <w:r>
              <w:rPr>
                <w:b w:val="false"/>
                <w:bCs w:val="false"/>
                <w:color w:val="2D3748"/>
                <w:sz w:val="20"/>
                <w:szCs w:val="20"/>
              </w:rPr>
              <w:t xml:space="preserve">Il Segreto della Montagna d'Oro</w:t>
            </w:r>
          </w:p>
        </w:tc>
        <w:tc>
          <w:tcPr>
            <w:tcW w:type="dxa" w:w="2100"/>
            <w:shd w:fill="FFFFFF" w:color="auto" w:val="clear"/>
            <w:tcMar>
              <w:top w:type="dxa" w:w="100"/>
              <w:left w:type="dxa" w:w="120"/>
              <w:bottom w:type="dxa" w:w="100"/>
              <w:right w:type="dxa" w:w="120"/>
            </w:tcMar>
            <w:vAlign w:val="center"/>
          </w:tcPr>
          <w:p>
            <w:r>
              <w:rPr>
                <w:b w:val="false"/>
                <w:bCs w:val="false"/>
                <w:color w:val="2D3748"/>
                <w:sz w:val="20"/>
                <w:szCs w:val="20"/>
              </w:rPr>
              <w:t xml:space="preserve">Cartellone "Il Viaggio verso la Felicità"</w:t>
            </w:r>
          </w:p>
        </w:tc>
        <w:tc>
          <w:tcPr>
            <w:tcW w:type="dxa" w:w="2572"/>
            <w:shd w:fill="FFFFFF" w:color="auto" w:val="clear"/>
            <w:tcMar>
              <w:top w:type="dxa" w:w="100"/>
              <w:left w:type="dxa" w:w="120"/>
              <w:bottom w:type="dxa" w:w="100"/>
              <w:right w:type="dxa" w:w="120"/>
            </w:tcMar>
            <w:vAlign w:val="center"/>
          </w:tcPr>
          <w:p>
            <w:r>
              <w:rPr>
                <w:b w:val="false"/>
                <w:bCs w:val="false"/>
                <w:color w:val="2D3748"/>
                <w:sz w:val="20"/>
                <w:szCs w:val="20"/>
              </w:rPr>
              <w:t xml:space="preserve">Storybook a scelte multiple con zaino variabile</w:t>
            </w:r>
          </w:p>
        </w:tc>
      </w:tr>
      <w:tr>
        <w:tc>
          <w:tcPr>
            <w:tcW w:type="dxa" w:w="700"/>
            <w:shd w:fill="FFFDF7" w:color="auto" w:val="clear"/>
            <w:tcMar>
              <w:top w:type="dxa" w:w="100"/>
              <w:left w:type="dxa" w:w="120"/>
              <w:bottom w:type="dxa" w:w="100"/>
              <w:right w:type="dxa" w:w="120"/>
            </w:tcMar>
            <w:vAlign w:val="center"/>
          </w:tcPr>
          <w:p>
            <w:r>
              <w:rPr>
                <w:b w:val="false"/>
                <w:bCs w:val="false"/>
                <w:color w:val="2D3748"/>
                <w:sz w:val="20"/>
                <w:szCs w:val="20"/>
              </w:rPr>
              <w:t xml:space="preserve">3</w:t>
            </w:r>
          </w:p>
        </w:tc>
        <w:tc>
          <w:tcPr>
            <w:tcW w:type="dxa" w:w="1900"/>
            <w:shd w:fill="FFFDF7" w:color="auto" w:val="clear"/>
            <w:tcMar>
              <w:top w:type="dxa" w:w="100"/>
              <w:left w:type="dxa" w:w="120"/>
              <w:bottom w:type="dxa" w:w="100"/>
              <w:right w:type="dxa" w:w="120"/>
            </w:tcMar>
            <w:vAlign w:val="center"/>
          </w:tcPr>
          <w:p>
            <w:r>
              <w:rPr>
                <w:b w:val="false"/>
                <w:bCs w:val="false"/>
                <w:color w:val="2D3748"/>
                <w:sz w:val="20"/>
                <w:szCs w:val="20"/>
              </w:rPr>
              <w:t xml:space="preserve">Il Giusto Mezzo</w:t>
            </w:r>
          </w:p>
        </w:tc>
        <w:tc>
          <w:tcPr>
            <w:tcW w:type="dxa" w:w="2100"/>
            <w:shd w:fill="FFFDF7" w:color="auto" w:val="clear"/>
            <w:tcMar>
              <w:top w:type="dxa" w:w="100"/>
              <w:left w:type="dxa" w:w="120"/>
              <w:bottom w:type="dxa" w:w="100"/>
              <w:right w:type="dxa" w:w="120"/>
            </w:tcMar>
            <w:vAlign w:val="center"/>
          </w:tcPr>
          <w:p>
            <w:r>
              <w:rPr>
                <w:b w:val="false"/>
                <w:bCs w:val="false"/>
                <w:color w:val="2D3748"/>
                <w:sz w:val="20"/>
                <w:szCs w:val="20"/>
              </w:rPr>
              <w:t xml:space="preserve">La Bilancia Magica di Re Equilibrio</w:t>
            </w:r>
          </w:p>
        </w:tc>
        <w:tc>
          <w:tcPr>
            <w:tcW w:type="dxa" w:w="2100"/>
            <w:shd w:fill="FFFDF7" w:color="auto" w:val="clear"/>
            <w:tcMar>
              <w:top w:type="dxa" w:w="100"/>
              <w:left w:type="dxa" w:w="120"/>
              <w:bottom w:type="dxa" w:w="100"/>
              <w:right w:type="dxa" w:w="120"/>
            </w:tcMar>
            <w:vAlign w:val="center"/>
          </w:tcPr>
          <w:p>
            <w:r>
              <w:rPr>
                <w:b w:val="false"/>
                <w:bCs w:val="false"/>
                <w:color w:val="2D3748"/>
                <w:sz w:val="20"/>
                <w:szCs w:val="20"/>
              </w:rPr>
              <w:t xml:space="preserve">Filo-Game "La Bilancia delle Scelte"</w:t>
            </w:r>
          </w:p>
        </w:tc>
        <w:tc>
          <w:tcPr>
            <w:tcW w:type="dxa" w:w="2572"/>
            <w:shd w:fill="FFFDF7" w:color="auto" w:val="clear"/>
            <w:tcMar>
              <w:top w:type="dxa" w:w="100"/>
              <w:left w:type="dxa" w:w="120"/>
              <w:bottom w:type="dxa" w:w="100"/>
              <w:right w:type="dxa" w:w="120"/>
            </w:tcMar>
            <w:vAlign w:val="center"/>
          </w:tcPr>
          <w:p>
            <w:r>
              <w:rPr>
                <w:b w:val="false"/>
                <w:bCs w:val="false"/>
                <w:color w:val="2D3748"/>
                <w:sz w:val="20"/>
                <w:szCs w:val="20"/>
              </w:rPr>
              <w:t xml:space="preserve">Generatore automatico di Carte Dilemma</w:t>
            </w:r>
          </w:p>
        </w:tc>
      </w:tr>
      <w:tr>
        <w:tc>
          <w:tcPr>
            <w:tcW w:type="dxa" w:w="700"/>
            <w:shd w:fill="FFFFFF" w:color="auto" w:val="clear"/>
            <w:tcMar>
              <w:top w:type="dxa" w:w="100"/>
              <w:left w:type="dxa" w:w="120"/>
              <w:bottom w:type="dxa" w:w="100"/>
              <w:right w:type="dxa" w:w="120"/>
            </w:tcMar>
            <w:vAlign w:val="center"/>
          </w:tcPr>
          <w:p>
            <w:r>
              <w:rPr>
                <w:b w:val="false"/>
                <w:bCs w:val="false"/>
                <w:color w:val="2D3748"/>
                <w:sz w:val="20"/>
                <w:szCs w:val="20"/>
              </w:rPr>
              <w:t xml:space="preserve">4</w:t>
            </w:r>
          </w:p>
        </w:tc>
        <w:tc>
          <w:tcPr>
            <w:tcW w:type="dxa" w:w="1900"/>
            <w:shd w:fill="FFFFFF" w:color="auto" w:val="clear"/>
            <w:tcMar>
              <w:top w:type="dxa" w:w="100"/>
              <w:left w:type="dxa" w:w="120"/>
              <w:bottom w:type="dxa" w:w="100"/>
              <w:right w:type="dxa" w:w="120"/>
            </w:tcMar>
            <w:vAlign w:val="center"/>
          </w:tcPr>
          <w:p>
            <w:r>
              <w:rPr>
                <w:b w:val="false"/>
                <w:bCs w:val="false"/>
                <w:color w:val="2D3748"/>
                <w:sz w:val="20"/>
                <w:szCs w:val="20"/>
              </w:rPr>
              <w:t xml:space="preserve">L'Amicizia Autentica</w:t>
            </w:r>
          </w:p>
        </w:tc>
        <w:tc>
          <w:tcPr>
            <w:tcW w:type="dxa" w:w="2100"/>
            <w:shd w:fill="FFFFFF" w:color="auto" w:val="clear"/>
            <w:tcMar>
              <w:top w:type="dxa" w:w="100"/>
              <w:left w:type="dxa" w:w="120"/>
              <w:bottom w:type="dxa" w:w="100"/>
              <w:right w:type="dxa" w:w="120"/>
            </w:tcMar>
            <w:vAlign w:val="center"/>
          </w:tcPr>
          <w:p>
            <w:r>
              <w:rPr>
                <w:b w:val="false"/>
                <w:bCs w:val="false"/>
                <w:color w:val="2D3748"/>
                <w:sz w:val="20"/>
                <w:szCs w:val="20"/>
              </w:rPr>
              <w:t xml:space="preserve">Il Fiore dei Tre Amici</w:t>
            </w:r>
          </w:p>
        </w:tc>
        <w:tc>
          <w:tcPr>
            <w:tcW w:type="dxa" w:w="2100"/>
            <w:shd w:fill="FFFFFF" w:color="auto" w:val="clear"/>
            <w:tcMar>
              <w:top w:type="dxa" w:w="100"/>
              <w:left w:type="dxa" w:w="120"/>
              <w:bottom w:type="dxa" w:w="100"/>
              <w:right w:type="dxa" w:w="120"/>
            </w:tcMar>
            <w:vAlign w:val="center"/>
          </w:tcPr>
          <w:p>
            <w:r>
              <w:rPr>
                <w:b w:val="false"/>
                <w:bCs w:val="false"/>
                <w:color w:val="2D3748"/>
                <w:sz w:val="20"/>
                <w:szCs w:val="20"/>
              </w:rPr>
              <w:t xml:space="preserve">Cartellone "Il Fiore degli Amici"</w:t>
            </w:r>
          </w:p>
        </w:tc>
        <w:tc>
          <w:tcPr>
            <w:tcW w:type="dxa" w:w="2572"/>
            <w:shd w:fill="FFFFFF" w:color="auto" w:val="clear"/>
            <w:tcMar>
              <w:top w:type="dxa" w:w="100"/>
              <w:left w:type="dxa" w:w="120"/>
              <w:bottom w:type="dxa" w:w="100"/>
              <w:right w:type="dxa" w:w="120"/>
            </w:tcMar>
            <w:vAlign w:val="center"/>
          </w:tcPr>
          <w:p>
            <w:r>
              <w:rPr>
                <w:b w:val="false"/>
                <w:bCs w:val="false"/>
                <w:color w:val="2D3748"/>
                <w:sz w:val="20"/>
                <w:szCs w:val="20"/>
              </w:rPr>
              <w:t xml:space="preserve">Assemblaggio E-book digitale finale</w:t>
            </w:r>
          </w:p>
        </w:tc>
      </w:tr>
    </w:tbl>
    <w:p>
      <w:r>
        <w:br w:type="page"/>
      </w:r>
    </w:p>
    <w:p>
      <w:pPr>
        <w:pStyle w:val="Heading1"/>
        <w:spacing w:after="200" w:before="360"/>
      </w:pPr>
      <w:r>
        <w:t xml:space="preserve">7. Valutazione e autovalutazione</w:t>
      </w:r>
    </w:p>
    <w:p>
      <w:pPr>
        <w:pStyle w:val="Heading2"/>
        <w:spacing w:after="160" w:before="280"/>
      </w:pPr>
      <w:r>
        <w:t xml:space="preserve">Rubrica valutativa delle competenze (Docente)</w:t>
      </w:r>
    </w:p>
    <w:tbl>
      <w:tblPr>
        <w:tblW w:type="dxa" w:w="9572"/>
        <w:tblBorders>
          <w:top w:val="single" w:color="auto" w:sz="4"/>
          <w:left w:val="single" w:color="auto" w:sz="4"/>
          <w:bottom w:val="single" w:color="auto" w:sz="4"/>
          <w:right w:val="single" w:color="auto" w:sz="4"/>
          <w:insideH w:val="single" w:color="auto" w:sz="4"/>
          <w:insideV w:val="single" w:color="auto" w:sz="4"/>
        </w:tblBorders>
      </w:tblPr>
      <w:tblGrid>
        <w:gridCol w:w="1900"/>
        <w:gridCol w:w="1918"/>
        <w:gridCol w:w="1918"/>
        <w:gridCol w:w="1918"/>
        <w:gridCol w:w="1918"/>
      </w:tblGrid>
      <w:tr>
        <w:trPr>
          <w:tblHeader/>
        </w:trPr>
        <w:tc>
          <w:tcPr>
            <w:tcW w:type="dxa" w:w="1900"/>
            <w:shd w:fill="D97706" w:color="auto" w:val="clear"/>
            <w:tcMar>
              <w:top w:type="dxa" w:w="100"/>
              <w:left w:type="dxa" w:w="120"/>
              <w:bottom w:type="dxa" w:w="100"/>
              <w:right w:type="dxa" w:w="120"/>
            </w:tcMar>
            <w:vAlign w:val="center"/>
          </w:tcPr>
          <w:p>
            <w:r>
              <w:rPr>
                <w:b/>
                <w:bCs/>
                <w:color w:val="FFFFFF"/>
                <w:sz w:val="20"/>
                <w:szCs w:val="20"/>
              </w:rPr>
              <w:t xml:space="preserve">Indicatori</w:t>
            </w:r>
          </w:p>
        </w:tc>
        <w:tc>
          <w:tcPr>
            <w:tcW w:type="dxa" w:w="1918"/>
            <w:shd w:fill="D97706" w:color="auto" w:val="clear"/>
            <w:tcMar>
              <w:top w:type="dxa" w:w="100"/>
              <w:left w:type="dxa" w:w="120"/>
              <w:bottom w:type="dxa" w:w="100"/>
              <w:right w:type="dxa" w:w="120"/>
            </w:tcMar>
            <w:vAlign w:val="center"/>
          </w:tcPr>
          <w:p>
            <w:r>
              <w:rPr>
                <w:b/>
                <w:bCs/>
                <w:color w:val="FFFFFF"/>
                <w:sz w:val="20"/>
                <w:szCs w:val="20"/>
              </w:rPr>
              <w:t xml:space="preserve">Avanzato</w:t>
            </w:r>
          </w:p>
        </w:tc>
        <w:tc>
          <w:tcPr>
            <w:tcW w:type="dxa" w:w="1918"/>
            <w:shd w:fill="D97706" w:color="auto" w:val="clear"/>
            <w:tcMar>
              <w:top w:type="dxa" w:w="100"/>
              <w:left w:type="dxa" w:w="120"/>
              <w:bottom w:type="dxa" w:w="100"/>
              <w:right w:type="dxa" w:w="120"/>
            </w:tcMar>
            <w:vAlign w:val="center"/>
          </w:tcPr>
          <w:p>
            <w:r>
              <w:rPr>
                <w:b/>
                <w:bCs/>
                <w:color w:val="FFFFFF"/>
                <w:sz w:val="20"/>
                <w:szCs w:val="20"/>
              </w:rPr>
              <w:t xml:space="preserve">Intermedio</w:t>
            </w:r>
          </w:p>
        </w:tc>
        <w:tc>
          <w:tcPr>
            <w:tcW w:type="dxa" w:w="1918"/>
            <w:shd w:fill="D97706" w:color="auto" w:val="clear"/>
            <w:tcMar>
              <w:top w:type="dxa" w:w="100"/>
              <w:left w:type="dxa" w:w="120"/>
              <w:bottom w:type="dxa" w:w="100"/>
              <w:right w:type="dxa" w:w="120"/>
            </w:tcMar>
            <w:vAlign w:val="center"/>
          </w:tcPr>
          <w:p>
            <w:r>
              <w:rPr>
                <w:b/>
                <w:bCs/>
                <w:color w:val="FFFFFF"/>
                <w:sz w:val="20"/>
                <w:szCs w:val="20"/>
              </w:rPr>
              <w:t xml:space="preserve">Base</w:t>
            </w:r>
          </w:p>
        </w:tc>
        <w:tc>
          <w:tcPr>
            <w:tcW w:type="dxa" w:w="1918"/>
            <w:shd w:fill="D97706" w:color="auto" w:val="clear"/>
            <w:tcMar>
              <w:top w:type="dxa" w:w="100"/>
              <w:left w:type="dxa" w:w="120"/>
              <w:bottom w:type="dxa" w:w="100"/>
              <w:right w:type="dxa" w:w="120"/>
            </w:tcMar>
            <w:vAlign w:val="center"/>
          </w:tcPr>
          <w:p>
            <w:r>
              <w:rPr>
                <w:b/>
                <w:bCs/>
                <w:color w:val="FFFFFF"/>
                <w:sz w:val="20"/>
                <w:szCs w:val="20"/>
              </w:rPr>
              <w:t xml:space="preserve">Prima acquisizione</w:t>
            </w:r>
          </w:p>
        </w:tc>
      </w:tr>
      <w:tr>
        <w:tc>
          <w:tcPr>
            <w:tcW w:type="dxa" w:w="1900"/>
            <w:shd w:fill="FFFDF7" w:color="auto" w:val="clear"/>
            <w:tcMar>
              <w:top w:type="dxa" w:w="100"/>
              <w:left w:type="dxa" w:w="120"/>
              <w:bottom w:type="dxa" w:w="100"/>
              <w:right w:type="dxa" w:w="120"/>
            </w:tcMar>
            <w:vAlign w:val="center"/>
          </w:tcPr>
          <w:p>
            <w:r>
              <w:rPr>
                <w:b w:val="false"/>
                <w:bCs w:val="false"/>
                <w:color w:val="2D3748"/>
                <w:sz w:val="20"/>
                <w:szCs w:val="20"/>
              </w:rPr>
              <w:t xml:space="preserve">Partecipazione all'Agorà (P4C)</w:t>
            </w:r>
          </w:p>
        </w:tc>
        <w:tc>
          <w:tcPr>
            <w:tcW w:type="dxa" w:w="1918"/>
            <w:shd w:fill="FFFDF7" w:color="auto" w:val="clear"/>
            <w:tcMar>
              <w:top w:type="dxa" w:w="100"/>
              <w:left w:type="dxa" w:w="120"/>
              <w:bottom w:type="dxa" w:w="100"/>
              <w:right w:type="dxa" w:w="120"/>
            </w:tcMar>
            <w:vAlign w:val="center"/>
          </w:tcPr>
          <w:p>
            <w:r>
              <w:rPr>
                <w:b w:val="false"/>
                <w:bCs w:val="false"/>
                <w:color w:val="2D3748"/>
                <w:sz w:val="20"/>
                <w:szCs w:val="20"/>
              </w:rPr>
              <w:t xml:space="preserve">Interviene in modo pertinente, ascolta con empatia e sviluppa le idee altrui argomentando con chiarezza</w:t>
            </w:r>
          </w:p>
        </w:tc>
        <w:tc>
          <w:tcPr>
            <w:tcW w:type="dxa" w:w="1918"/>
            <w:shd w:fill="FFFDF7" w:color="auto" w:val="clear"/>
            <w:tcMar>
              <w:top w:type="dxa" w:w="100"/>
              <w:left w:type="dxa" w:w="120"/>
              <w:bottom w:type="dxa" w:w="100"/>
              <w:right w:type="dxa" w:w="120"/>
            </w:tcMar>
            <w:vAlign w:val="center"/>
          </w:tcPr>
          <w:p>
            <w:r>
              <w:rPr>
                <w:b w:val="false"/>
                <w:bCs w:val="false"/>
                <w:color w:val="2D3748"/>
                <w:sz w:val="20"/>
                <w:szCs w:val="20"/>
              </w:rPr>
              <w:t xml:space="preserve">Interviene in modo appropriato e rispetta i turni di parola</w:t>
            </w:r>
          </w:p>
        </w:tc>
        <w:tc>
          <w:tcPr>
            <w:tcW w:type="dxa" w:w="1918"/>
            <w:shd w:fill="FFFDF7" w:color="auto" w:val="clear"/>
            <w:tcMar>
              <w:top w:type="dxa" w:w="100"/>
              <w:left w:type="dxa" w:w="120"/>
              <w:bottom w:type="dxa" w:w="100"/>
              <w:right w:type="dxa" w:w="120"/>
            </w:tcMar>
            <w:vAlign w:val="center"/>
          </w:tcPr>
          <w:p>
            <w:r>
              <w:rPr>
                <w:b w:val="false"/>
                <w:bCs w:val="false"/>
                <w:color w:val="2D3748"/>
                <w:sz w:val="20"/>
                <w:szCs w:val="20"/>
              </w:rPr>
              <w:t xml:space="preserve">Interviene solo se sollecitato e rispetta le regole base</w:t>
            </w:r>
          </w:p>
        </w:tc>
        <w:tc>
          <w:tcPr>
            <w:tcW w:type="dxa" w:w="1918"/>
            <w:shd w:fill="FFFDF7" w:color="auto" w:val="clear"/>
            <w:tcMar>
              <w:top w:type="dxa" w:w="100"/>
              <w:left w:type="dxa" w:w="120"/>
              <w:bottom w:type="dxa" w:w="100"/>
              <w:right w:type="dxa" w:w="120"/>
            </w:tcMar>
            <w:vAlign w:val="center"/>
          </w:tcPr>
          <w:p>
            <w:r>
              <w:rPr>
                <w:b w:val="false"/>
                <w:bCs w:val="false"/>
                <w:color w:val="2D3748"/>
                <w:sz w:val="20"/>
                <w:szCs w:val="20"/>
              </w:rPr>
              <w:t xml:space="preserve">Fatica a rispettare i turni e mantenere l'attenzione</w:t>
            </w:r>
          </w:p>
        </w:tc>
      </w:tr>
      <w:tr>
        <w:tc>
          <w:tcPr>
            <w:tcW w:type="dxa" w:w="1900"/>
            <w:shd w:fill="FFFFFF" w:color="auto" w:val="clear"/>
            <w:tcMar>
              <w:top w:type="dxa" w:w="100"/>
              <w:left w:type="dxa" w:w="120"/>
              <w:bottom w:type="dxa" w:w="100"/>
              <w:right w:type="dxa" w:w="120"/>
            </w:tcMar>
            <w:vAlign w:val="center"/>
          </w:tcPr>
          <w:p>
            <w:r>
              <w:rPr>
                <w:b w:val="false"/>
                <w:bCs w:val="false"/>
                <w:color w:val="2D3748"/>
                <w:sz w:val="20"/>
                <w:szCs w:val="20"/>
              </w:rPr>
              <w:t xml:space="preserve">Riflessione Etica (Giusto Mezzo)</w:t>
            </w:r>
          </w:p>
        </w:tc>
        <w:tc>
          <w:tcPr>
            <w:tcW w:type="dxa" w:w="1918"/>
            <w:shd w:fill="FFFFFF" w:color="auto" w:val="clear"/>
            <w:tcMar>
              <w:top w:type="dxa" w:w="100"/>
              <w:left w:type="dxa" w:w="120"/>
              <w:bottom w:type="dxa" w:w="100"/>
              <w:right w:type="dxa" w:w="120"/>
            </w:tcMar>
            <w:vAlign w:val="center"/>
          </w:tcPr>
          <w:p>
            <w:r>
              <w:rPr>
                <w:b w:val="false"/>
                <w:bCs w:val="false"/>
                <w:color w:val="2D3748"/>
                <w:sz w:val="20"/>
                <w:szCs w:val="20"/>
              </w:rPr>
              <w:t xml:space="preserve">Individua autonomamente il Giusto Mezzo in situazioni complesse, motivando la scelta</w:t>
            </w:r>
          </w:p>
        </w:tc>
        <w:tc>
          <w:tcPr>
            <w:tcW w:type="dxa" w:w="1918"/>
            <w:shd w:fill="FFFFFF" w:color="auto" w:val="clear"/>
            <w:tcMar>
              <w:top w:type="dxa" w:w="100"/>
              <w:left w:type="dxa" w:w="120"/>
              <w:bottom w:type="dxa" w:w="100"/>
              <w:right w:type="dxa" w:w="120"/>
            </w:tcMar>
            <w:vAlign w:val="center"/>
          </w:tcPr>
          <w:p>
            <w:r>
              <w:rPr>
                <w:b w:val="false"/>
                <w:bCs w:val="false"/>
                <w:color w:val="2D3748"/>
                <w:sz w:val="20"/>
                <w:szCs w:val="20"/>
              </w:rPr>
              <w:t xml:space="preserve">Riconosce il Giusto Mezzo e distingue gli estremi</w:t>
            </w:r>
          </w:p>
        </w:tc>
        <w:tc>
          <w:tcPr>
            <w:tcW w:type="dxa" w:w="1918"/>
            <w:shd w:fill="FFFFFF" w:color="auto" w:val="clear"/>
            <w:tcMar>
              <w:top w:type="dxa" w:w="100"/>
              <w:left w:type="dxa" w:w="120"/>
              <w:bottom w:type="dxa" w:w="100"/>
              <w:right w:type="dxa" w:w="120"/>
            </w:tcMar>
            <w:vAlign w:val="center"/>
          </w:tcPr>
          <w:p>
            <w:r>
              <w:rPr>
                <w:b w:val="false"/>
                <w:bCs w:val="false"/>
                <w:color w:val="2D3748"/>
                <w:sz w:val="20"/>
                <w:szCs w:val="20"/>
              </w:rPr>
              <w:t xml:space="preserve">Riconosce la scelta corretta guidato da domande</w:t>
            </w:r>
          </w:p>
        </w:tc>
        <w:tc>
          <w:tcPr>
            <w:tcW w:type="dxa" w:w="1918"/>
            <w:shd w:fill="FFFFFF" w:color="auto" w:val="clear"/>
            <w:tcMar>
              <w:top w:type="dxa" w:w="100"/>
              <w:left w:type="dxa" w:w="120"/>
              <w:bottom w:type="dxa" w:w="100"/>
              <w:right w:type="dxa" w:w="120"/>
            </w:tcMar>
            <w:vAlign w:val="center"/>
          </w:tcPr>
          <w:p>
            <w:r>
              <w:rPr>
                <w:b w:val="false"/>
                <w:bCs w:val="false"/>
                <w:color w:val="2D3748"/>
                <w:sz w:val="20"/>
                <w:szCs w:val="20"/>
              </w:rPr>
              <w:t xml:space="preserve">Ha difficoltà a distinguere eccesso o difetto</w:t>
            </w:r>
          </w:p>
        </w:tc>
      </w:tr>
      <w:tr>
        <w:tc>
          <w:tcPr>
            <w:tcW w:type="dxa" w:w="1900"/>
            <w:shd w:fill="FFFDF7" w:color="auto" w:val="clear"/>
            <w:tcMar>
              <w:top w:type="dxa" w:w="100"/>
              <w:left w:type="dxa" w:w="120"/>
              <w:bottom w:type="dxa" w:w="100"/>
              <w:right w:type="dxa" w:w="120"/>
            </w:tcMar>
            <w:vAlign w:val="center"/>
          </w:tcPr>
          <w:p>
            <w:r>
              <w:rPr>
                <w:b w:val="false"/>
                <w:bCs w:val="false"/>
                <w:color w:val="2D3748"/>
                <w:sz w:val="20"/>
                <w:szCs w:val="20"/>
              </w:rPr>
              <w:t xml:space="preserve">Competenza Digitale &amp; Critica</w:t>
            </w:r>
          </w:p>
        </w:tc>
        <w:tc>
          <w:tcPr>
            <w:tcW w:type="dxa" w:w="1918"/>
            <w:shd w:fill="FFFDF7" w:color="auto" w:val="clear"/>
            <w:tcMar>
              <w:top w:type="dxa" w:w="100"/>
              <w:left w:type="dxa" w:w="120"/>
              <w:bottom w:type="dxa" w:w="100"/>
              <w:right w:type="dxa" w:w="120"/>
            </w:tcMar>
            <w:vAlign w:val="center"/>
          </w:tcPr>
          <w:p>
            <w:r>
              <w:rPr>
                <w:b w:val="false"/>
                <w:bCs w:val="false"/>
                <w:color w:val="2D3748"/>
                <w:sz w:val="20"/>
                <w:szCs w:val="20"/>
              </w:rPr>
              <w:t xml:space="preserve">Interagisce in modo attivo e critico con l'IA, comprendendola come supporto al pensiero umano</w:t>
            </w:r>
          </w:p>
        </w:tc>
        <w:tc>
          <w:tcPr>
            <w:tcW w:type="dxa" w:w="1918"/>
            <w:shd w:fill="FFFDF7" w:color="auto" w:val="clear"/>
            <w:tcMar>
              <w:top w:type="dxa" w:w="100"/>
              <w:left w:type="dxa" w:w="120"/>
              <w:bottom w:type="dxa" w:w="100"/>
              <w:right w:type="dxa" w:w="120"/>
            </w:tcMar>
            <w:vAlign w:val="center"/>
          </w:tcPr>
          <w:p>
            <w:r>
              <w:rPr>
                <w:b w:val="false"/>
                <w:bCs w:val="false"/>
                <w:color w:val="2D3748"/>
                <w:sz w:val="20"/>
                <w:szCs w:val="20"/>
              </w:rPr>
              <w:t xml:space="preserve">Utilizza gli strumenti interattivi in modo corretto e partecipativo</w:t>
            </w:r>
          </w:p>
        </w:tc>
        <w:tc>
          <w:tcPr>
            <w:tcW w:type="dxa" w:w="1918"/>
            <w:shd w:fill="FFFDF7" w:color="auto" w:val="clear"/>
            <w:tcMar>
              <w:top w:type="dxa" w:w="100"/>
              <w:left w:type="dxa" w:w="120"/>
              <w:bottom w:type="dxa" w:w="100"/>
              <w:right w:type="dxa" w:w="120"/>
            </w:tcMar>
            <w:vAlign w:val="center"/>
          </w:tcPr>
          <w:p>
            <w:r>
              <w:rPr>
                <w:b w:val="false"/>
                <w:bCs w:val="false"/>
                <w:color w:val="2D3748"/>
                <w:sz w:val="20"/>
                <w:szCs w:val="20"/>
              </w:rPr>
              <w:t xml:space="preserve">Fruisce dei contenuti in modo passivo ma corretto</w:t>
            </w:r>
          </w:p>
        </w:tc>
        <w:tc>
          <w:tcPr>
            <w:tcW w:type="dxa" w:w="1918"/>
            <w:shd w:fill="FFFDF7" w:color="auto" w:val="clear"/>
            <w:tcMar>
              <w:top w:type="dxa" w:w="100"/>
              <w:left w:type="dxa" w:w="120"/>
              <w:bottom w:type="dxa" w:w="100"/>
              <w:right w:type="dxa" w:w="120"/>
            </w:tcMar>
            <w:vAlign w:val="center"/>
          </w:tcPr>
          <w:p>
            <w:r>
              <w:rPr>
                <w:b w:val="false"/>
                <w:bCs w:val="false"/>
                <w:color w:val="2D3748"/>
                <w:sz w:val="20"/>
                <w:szCs w:val="20"/>
              </w:rPr>
              <w:t xml:space="preserve">Necessita di guida costante</w:t>
            </w:r>
          </w:p>
        </w:tc>
      </w:tr>
      <w:tr>
        <w:tc>
          <w:tcPr>
            <w:tcW w:type="dxa" w:w="1900"/>
            <w:shd w:fill="FFFFFF" w:color="auto" w:val="clear"/>
            <w:tcMar>
              <w:top w:type="dxa" w:w="100"/>
              <w:left w:type="dxa" w:w="120"/>
              <w:bottom w:type="dxa" w:w="100"/>
              <w:right w:type="dxa" w:w="120"/>
            </w:tcMar>
            <w:vAlign w:val="center"/>
          </w:tcPr>
          <w:p>
            <w:r>
              <w:rPr>
                <w:b w:val="false"/>
                <w:bCs w:val="false"/>
                <w:color w:val="2D3748"/>
                <w:sz w:val="20"/>
                <w:szCs w:val="20"/>
              </w:rPr>
              <w:t xml:space="preserve">Collaborazione (Cartelloni/Giochi)</w:t>
            </w:r>
          </w:p>
        </w:tc>
        <w:tc>
          <w:tcPr>
            <w:tcW w:type="dxa" w:w="1918"/>
            <w:shd w:fill="FFFFFF" w:color="auto" w:val="clear"/>
            <w:tcMar>
              <w:top w:type="dxa" w:w="100"/>
              <w:left w:type="dxa" w:w="120"/>
              <w:bottom w:type="dxa" w:w="100"/>
              <w:right w:type="dxa" w:w="120"/>
            </w:tcMar>
            <w:vAlign w:val="center"/>
          </w:tcPr>
          <w:p>
            <w:r>
              <w:rPr>
                <w:b w:val="false"/>
                <w:bCs w:val="false"/>
                <w:color w:val="2D3748"/>
                <w:sz w:val="20"/>
                <w:szCs w:val="20"/>
              </w:rPr>
              <w:t xml:space="preserve">Coopera con entusiasmo, supporta i compagni e valorizza i contributi di tutti</w:t>
            </w:r>
          </w:p>
        </w:tc>
        <w:tc>
          <w:tcPr>
            <w:tcW w:type="dxa" w:w="1918"/>
            <w:shd w:fill="FFFFFF" w:color="auto" w:val="clear"/>
            <w:tcMar>
              <w:top w:type="dxa" w:w="100"/>
              <w:left w:type="dxa" w:w="120"/>
              <w:bottom w:type="dxa" w:w="100"/>
              <w:right w:type="dxa" w:w="120"/>
            </w:tcMar>
            <w:vAlign w:val="center"/>
          </w:tcPr>
          <w:p>
            <w:r>
              <w:rPr>
                <w:b w:val="false"/>
                <w:bCs w:val="false"/>
                <w:color w:val="2D3748"/>
                <w:sz w:val="20"/>
                <w:szCs w:val="20"/>
              </w:rPr>
              <w:t xml:space="preserve">Lavora in gruppo in modo costruttivo, porta a termine i compiti</w:t>
            </w:r>
          </w:p>
        </w:tc>
        <w:tc>
          <w:tcPr>
            <w:tcW w:type="dxa" w:w="1918"/>
            <w:shd w:fill="FFFFFF" w:color="auto" w:val="clear"/>
            <w:tcMar>
              <w:top w:type="dxa" w:w="100"/>
              <w:left w:type="dxa" w:w="120"/>
              <w:bottom w:type="dxa" w:w="100"/>
              <w:right w:type="dxa" w:w="120"/>
            </w:tcMar>
            <w:vAlign w:val="center"/>
          </w:tcPr>
          <w:p>
            <w:r>
              <w:rPr>
                <w:b w:val="false"/>
                <w:bCs w:val="false"/>
                <w:color w:val="2D3748"/>
                <w:sz w:val="20"/>
                <w:szCs w:val="20"/>
              </w:rPr>
              <w:t xml:space="preserve">Partecipa eseguendo le indicazioni date</w:t>
            </w:r>
          </w:p>
        </w:tc>
        <w:tc>
          <w:tcPr>
            <w:tcW w:type="dxa" w:w="1918"/>
            <w:shd w:fill="FFFFFF" w:color="auto" w:val="clear"/>
            <w:tcMar>
              <w:top w:type="dxa" w:w="100"/>
              <w:left w:type="dxa" w:w="120"/>
              <w:bottom w:type="dxa" w:w="100"/>
              <w:right w:type="dxa" w:w="120"/>
            </w:tcMar>
            <w:vAlign w:val="center"/>
          </w:tcPr>
          <w:p>
            <w:r>
              <w:rPr>
                <w:b w:val="false"/>
                <w:bCs w:val="false"/>
                <w:color w:val="2D3748"/>
                <w:sz w:val="20"/>
                <w:szCs w:val="20"/>
              </w:rPr>
              <w:t xml:space="preserve">Lavora in modo isolato o si distrae</w:t>
            </w:r>
          </w:p>
        </w:tc>
      </w:tr>
    </w:tbl>
    <w:p>
      <w:pPr>
        <w:spacing w:after="200"/>
      </w:pPr>
    </w:p>
    <w:p>
      <w:pPr>
        <w:pStyle w:val="Heading2"/>
        <w:spacing w:after="160" w:before="280"/>
      </w:pPr>
      <w:r>
        <w:t xml:space="preserve">Scheda di autovalutazione alunno — "Il Diario del Piccolo Filosofo"</w:t>
      </w:r>
    </w:p>
    <w:p>
      <w:pPr>
        <w:spacing w:after="160"/>
      </w:pPr>
      <w:r>
        <w:rPr>
          <w:b/>
          <w:bCs/>
        </w:rPr>
        <w:t xml:space="preserve">Nome: </w:t>
      </w:r>
      <w:r>
        <w:t xml:space="preserve">_______________________     Data: _____________</w:t>
      </w:r>
    </w:p>
    <w:p>
      <w:pPr>
        <w:pBdr>
          <w:left w:val="single" w:color="D97706" w:sz="18" w:space="8"/>
        </w:pBdr>
        <w:spacing w:after="240" w:before="120"/>
        <w:ind w:left="240"/>
      </w:pPr>
      <w:r>
        <w:rPr>
          <w:i/>
          <w:iCs/>
          <w:color w:val="555555"/>
        </w:rPr>
        <w:t xml:space="preserve">1. Oggi nell'Agorà ho ascoltato una risposta che mi ha fatto pensare a... ____________________________</w:t>
      </w:r>
    </w:p>
    <w:p>
      <w:pPr>
        <w:pBdr>
          <w:left w:val="single" w:color="D97706" w:sz="18" w:space="8"/>
        </w:pBdr>
        <w:spacing w:after="240" w:before="120"/>
        <w:ind w:left="240"/>
      </w:pPr>
      <w:r>
        <w:rPr>
          <w:i/>
          <w:iCs/>
          <w:color w:val="555555"/>
        </w:rPr>
        <w:t xml:space="preserve">2. Questa settimana ho usato il "Giusto Mezzo" quando... ____________________________</w:t>
      </w:r>
    </w:p>
    <w:p>
      <w:pPr>
        <w:pBdr>
          <w:left w:val="single" w:color="D97706" w:sz="18" w:space="8"/>
        </w:pBdr>
        <w:spacing w:after="240" w:before="120"/>
        <w:ind w:left="240"/>
      </w:pPr>
      <w:r>
        <w:rPr>
          <w:i/>
          <w:iCs/>
          <w:color w:val="555555"/>
        </w:rPr>
        <w:t xml:space="preserve">3. Con il mio compagno di banco ho coltivato il Petalo: ☐ del Gioco ☐ dello Scambio ☐ del Cuore — Perché: ____________________</w:t>
      </w:r>
    </w:p>
    <w:p>
      <w:pPr>
        <w:pBdr>
          <w:left w:val="single" w:color="D97706" w:sz="18" w:space="8"/>
        </w:pBdr>
        <w:spacing w:after="240" w:before="120"/>
        <w:ind w:left="240"/>
      </w:pPr>
      <w:r>
        <w:rPr>
          <w:i/>
          <w:iCs/>
          <w:color w:val="555555"/>
        </w:rPr>
        <w:t xml:space="preserve">4. Come mi sono sentito a parlare con l'Avatar del Filosofo? ☐ Meravigliato ☐ Curioso ☐ In dubbio</w:t>
      </w:r>
    </w:p>
    <w:p>
      <w:r>
        <w:br w:type="page"/>
      </w:r>
    </w:p>
    <w:p>
      <w:pPr>
        <w:pStyle w:val="Heading1"/>
        <w:spacing w:after="200" w:before="360"/>
      </w:pPr>
      <w:r>
        <w:t xml:space="preserve">8. Appendice operativa: kit di prompt per l'insegnante</w:t>
      </w:r>
    </w:p>
    <w:p>
      <w:pPr>
        <w:pStyle w:val="Heading2"/>
        <w:spacing w:after="160" w:before="280"/>
      </w:pPr>
      <w:r>
        <w:t xml:space="preserve">Prompt 1 — Generazione Avatar Socrate (Maieutica)</w:t>
      </w:r>
    </w:p>
    <w:p>
      <w:pPr>
        <w:pBdr>
          <w:left w:val="single" w:color="D97706" w:sz="18" w:space="8"/>
        </w:pBdr>
        <w:spacing w:after="240" w:before="120"/>
        <w:ind w:left="240"/>
      </w:pPr>
      <w:r>
        <w:rPr>
          <w:i/>
          <w:iCs/>
          <w:color w:val="555555"/>
        </w:rPr>
        <w:t xml:space="preserve">Agisci come Socrate adattato per bambini di 9 anni della Scuola Primaria. Poni alla classe una sola domanda aperta e meravigliosa sul concetto di "Verità" o "Pensiero". Utilizza un tono caloroso, incoraggiante e maieutico. Non dare risposte definite, ma rispondi alle loro idee con altre domande che li spingano a ragionare.</w:t>
      </w:r>
    </w:p>
    <w:p>
      <w:pPr>
        <w:pStyle w:val="Heading2"/>
        <w:spacing w:after="160" w:before="280"/>
      </w:pPr>
      <w:r>
        <w:t xml:space="preserve">Prompt 2 — Generazione Carte Dilemma ("La Bilancia delle Scelte")</w:t>
      </w:r>
    </w:p>
    <w:p>
      <w:pPr>
        <w:pBdr>
          <w:left w:val="single" w:color="D97706" w:sz="18" w:space="8"/>
        </w:pBdr>
        <w:spacing w:after="240" w:before="120"/>
        <w:ind w:left="240"/>
      </w:pPr>
      <w:r>
        <w:rPr>
          <w:i/>
          <w:iCs/>
          <w:color w:val="555555"/>
        </w:rPr>
        <w:t xml:space="preserve">Sei un formatore didattico P4C per la scuola primaria. Genera 3 scenari di vita quotidiana per bambini di 9 anni dedicati al tema dell'intervallo scolastico. Per ogni scenario individua: 1) l'azione in Difetto (Poco), 2) l'azione in Eccesso (Troppo), 3) l'azione virtuosa di equilibrio (Giusto Mezzo). Usa un linguaggio semplice ed ingaggiante.</w:t>
      </w:r>
    </w:p>
    <w:p>
      <w:pPr>
        <w:pStyle w:val="Heading2"/>
        <w:spacing w:after="160" w:before="280"/>
      </w:pPr>
      <w:r>
        <w:t xml:space="preserve">Prompt 3 — Generazione Storybook a Bivio</w:t>
      </w:r>
    </w:p>
    <w:p>
      <w:pPr>
        <w:pBdr>
          <w:left w:val="single" w:color="D97706" w:sz="18" w:space="8"/>
        </w:pBdr>
        <w:spacing w:after="240" w:before="120"/>
        <w:ind w:left="240"/>
      </w:pPr>
      <w:r>
        <w:rPr>
          <w:i/>
          <w:iCs/>
          <w:color w:val="555555"/>
        </w:rPr>
        <w:t xml:space="preserve">Crea una variante narrativa a bivio per il racconto "Il Segreto della Montagna d'Oro". Il protagonista Aris incontra un compagno in difficoltà che ha perso la strada. Proponi due opzioni di scelta per la classe: Opzione A (proseguire da solo per arrivare prima in cima) e Opzione B (condividere le scorte dello zaino della Ragione ed aiutarlo). Descrivi brevemente le conseguenze educative per ciascuna scelta.</w:t>
      </w:r>
    </w:p>
    <w:p>
      <w:r>
        <w:br w:type="page"/>
      </w:r>
    </w:p>
    <w:p>
      <w:pPr>
        <w:pStyle w:val="Heading1"/>
        <w:spacing w:after="200" w:before="360"/>
      </w:pPr>
      <w:r>
        <w:t xml:space="preserve">9. Storybook completo: Il Segreto della Montagna d'Oro</w:t>
      </w:r>
    </w:p>
    <w:p>
      <w:pPr>
        <w:spacing w:after="160"/>
      </w:pPr>
      <w:r>
        <w:rPr>
          <w:i/>
          <w:iCs/>
          <w:color w:val="777777"/>
        </w:rPr>
        <w:t xml:space="preserve">Racconto integrale associato alla Fase 2 (Aristotele e la Montagna della Felicità). Testo e illustrazioni: Sonia Cercelletta.</w:t>
      </w:r>
    </w:p>
    <w:p>
      <w:pPr>
        <w:spacing w:after="300" w:before="200"/>
        <w:jc w:val="center"/>
      </w:pPr>
      <w:r>
        <w:drawing>
          <wp:inline distT="0" distB="0" distL="0" distR="0">
            <wp:extent cx="190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2190750"/>
                    </a:xfrm>
                    <a:prstGeom prst="rect">
                      <a:avLst/>
                    </a:prstGeom>
                  </pic:spPr>
                </pic:pic>
              </a:graphicData>
            </a:graphic>
          </wp:inline>
        </w:drawing>
      </w:r>
    </w:p>
    <w:tbl>
      <w:tblPr>
        <w:tblW w:type="dxa" w:w="9572"/>
        <w:tblBorders>
          <w:top w:val="none" w:color="FFFFFF" w:sz="0"/>
          <w:left w:val="none" w:color="FFFFFF" w:sz="0"/>
          <w:bottom w:val="none" w:color="FFFFFF" w:sz="0"/>
          <w:right w:val="none" w:color="FFFFFF" w:sz="0"/>
          <w:insideH w:val="none" w:color="FFFFFF" w:sz="0"/>
          <w:insideV w:val="none" w:color="FFFFFF" w:sz="0"/>
        </w:tblBorders>
      </w:tblPr>
      <w:tblGrid>
        <w:gridCol w:w="3200"/>
        <w:gridCol w:w="6372"/>
      </w:tblGrid>
      <w:tr>
        <w:tc>
          <w:tcPr>
            <w:tcW w:type="dxa" w:w="3200"/>
            <w:tcMar>
              <w:top w:type="dxa" w:w="100"/>
              <w:left w:type="dxa" w:w="0"/>
              <w:bottom w:type="dxa" w:w="100"/>
              <w:right w:type="dxa" w:w="200"/>
            </w:tcMar>
            <w:vAlign w:val="center"/>
          </w:tcPr>
          <w:p>
            <w:pPr>
              <w:jc w:val="center"/>
            </w:pPr>
            <w:r>
              <w:drawing>
                <wp:inline distT="0" distB="0" distL="0" distR="0">
                  <wp:extent cx="1428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2181225"/>
                          </a:xfrm>
                          <a:prstGeom prst="rect">
                            <a:avLst/>
                          </a:prstGeom>
                        </pic:spPr>
                      </pic:pic>
                    </a:graphicData>
                  </a:graphic>
                </wp:inline>
              </w:drawing>
            </w:r>
          </w:p>
        </w:tc>
        <w:tc>
          <w:tcPr>
            <w:tcW w:type="dxa" w:w="6372"/>
            <w:tcMar>
              <w:top w:type="dxa" w:w="100"/>
              <w:left w:type="dxa" w:w="200"/>
              <w:bottom w:type="dxa" w:w="100"/>
              <w:right w:type="dxa" w:w="0"/>
            </w:tcMar>
            <w:vAlign w:val="center"/>
          </w:tcPr>
          <w:p>
            <w:pPr>
              <w:spacing w:after="80"/>
            </w:pPr>
            <w:r>
              <w:rPr>
                <w:b/>
                <w:bCs/>
                <w:color w:val="D97706"/>
                <w:sz w:val="18"/>
                <w:szCs w:val="18"/>
              </w:rPr>
              <w:t xml:space="preserve">Pagina 1</w:t>
            </w:r>
          </w:p>
          <w:p>
            <w:pPr>
              <w:spacing w:after="0"/>
            </w:pPr>
            <w:r>
              <w:rPr>
                <w:color w:val="2D3748"/>
                <w:sz w:val="21"/>
                <w:szCs w:val="21"/>
              </w:rPr>
              <w:t xml:space="preserve">Tra le colline dell'antica Grecia, viveva un bambino di nome Aris. Aveva i capelli ricci sempre scompigliati e una testa piena di pensieri. Quel mattino, un dubbio non lo lasciava in pace: "Ma cos'è che ci rende veramente felici?". Guardava i suoi amici correre, ma sentiva che la gioia di un gioco vinto svaniva troppo in fretta, proprio come una bolla di sapone.</w:t>
            </w:r>
          </w:p>
        </w:tc>
      </w:tr>
    </w:tbl>
    <w:p>
      <w:pPr>
        <w:spacing w:after="200"/>
      </w:pPr>
    </w:p>
    <w:tbl>
      <w:tblPr>
        <w:tblW w:type="dxa" w:w="9572"/>
        <w:tblBorders>
          <w:top w:val="none" w:color="FFFFFF" w:sz="0"/>
          <w:left w:val="none" w:color="FFFFFF" w:sz="0"/>
          <w:bottom w:val="none" w:color="FFFFFF" w:sz="0"/>
          <w:right w:val="none" w:color="FFFFFF" w:sz="0"/>
          <w:insideH w:val="none" w:color="FFFFFF" w:sz="0"/>
          <w:insideV w:val="none" w:color="FFFFFF" w:sz="0"/>
        </w:tblBorders>
      </w:tblPr>
      <w:tblGrid>
        <w:gridCol w:w="3200"/>
        <w:gridCol w:w="6372"/>
      </w:tblGrid>
      <w:tr>
        <w:tc>
          <w:tcPr>
            <w:tcW w:type="dxa" w:w="3200"/>
            <w:tcMar>
              <w:top w:type="dxa" w:w="100"/>
              <w:left w:type="dxa" w:w="0"/>
              <w:bottom w:type="dxa" w:w="100"/>
              <w:right w:type="dxa" w:w="200"/>
            </w:tcMar>
            <w:vAlign w:val="center"/>
          </w:tcPr>
          <w:p>
            <w:pPr>
              <w:jc w:val="center"/>
            </w:pPr>
            <w:r>
              <w:drawing>
                <wp:inline distT="0" distB="0" distL="0" distR="0">
                  <wp:extent cx="1428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181225"/>
                          </a:xfrm>
                          <a:prstGeom prst="rect">
                            <a:avLst/>
                          </a:prstGeom>
                        </pic:spPr>
                      </pic:pic>
                    </a:graphicData>
                  </a:graphic>
                </wp:inline>
              </w:drawing>
            </w:r>
          </w:p>
        </w:tc>
        <w:tc>
          <w:tcPr>
            <w:tcW w:type="dxa" w:w="6372"/>
            <w:tcMar>
              <w:top w:type="dxa" w:w="100"/>
              <w:left w:type="dxa" w:w="200"/>
              <w:bottom w:type="dxa" w:w="100"/>
              <w:right w:type="dxa" w:w="0"/>
            </w:tcMar>
            <w:vAlign w:val="center"/>
          </w:tcPr>
          <w:p>
            <w:pPr>
              <w:spacing w:after="80"/>
            </w:pPr>
            <w:r>
              <w:rPr>
                <w:b/>
                <w:bCs/>
                <w:color w:val="D97706"/>
                <w:sz w:val="18"/>
                <w:szCs w:val="18"/>
              </w:rPr>
              <w:t xml:space="preserve">Pagina 2</w:t>
            </w:r>
          </w:p>
          <w:p>
            <w:pPr>
              <w:spacing w:after="0"/>
            </w:pPr>
            <w:r>
              <w:rPr>
                <w:color w:val="2D3748"/>
                <w:sz w:val="21"/>
                <w:szCs w:val="21"/>
              </w:rPr>
              <w:t xml:space="preserve">Aris pensò ai suoi giocattoli. "Forse la felicità è avere una trottola nuova!", si disse. Ma poi ricordò che le trottole si rompono. Pensò allora a un vaso pieno di miele dolcissimo. "Ma se ne mangio troppo, mi viene il mal di pancia!". Capì che le cose che si possono toccare o mangiare sono belle, ma la loro magia non dura per sempre.</w:t>
            </w:r>
          </w:p>
        </w:tc>
      </w:tr>
    </w:tbl>
    <w:p>
      <w:pPr>
        <w:spacing w:after="200"/>
      </w:pPr>
    </w:p>
    <w:tbl>
      <w:tblPr>
        <w:tblW w:type="dxa" w:w="9572"/>
        <w:tblBorders>
          <w:top w:val="none" w:color="FFFFFF" w:sz="0"/>
          <w:left w:val="none" w:color="FFFFFF" w:sz="0"/>
          <w:bottom w:val="none" w:color="FFFFFF" w:sz="0"/>
          <w:right w:val="none" w:color="FFFFFF" w:sz="0"/>
          <w:insideH w:val="none" w:color="FFFFFF" w:sz="0"/>
          <w:insideV w:val="none" w:color="FFFFFF" w:sz="0"/>
        </w:tblBorders>
      </w:tblPr>
      <w:tblGrid>
        <w:gridCol w:w="3200"/>
        <w:gridCol w:w="6372"/>
      </w:tblGrid>
      <w:tr>
        <w:tc>
          <w:tcPr>
            <w:tcW w:type="dxa" w:w="3200"/>
            <w:tcMar>
              <w:top w:type="dxa" w:w="100"/>
              <w:left w:type="dxa" w:w="0"/>
              <w:bottom w:type="dxa" w:w="100"/>
              <w:right w:type="dxa" w:w="200"/>
            </w:tcMar>
            <w:vAlign w:val="center"/>
          </w:tcPr>
          <w:p>
            <w:pPr>
              <w:jc w:val="center"/>
            </w:pPr>
            <w:r>
              <w:drawing>
                <wp:inline distT="0" distB="0" distL="0" distR="0">
                  <wp:extent cx="1428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2181225"/>
                          </a:xfrm>
                          <a:prstGeom prst="rect">
                            <a:avLst/>
                          </a:prstGeom>
                        </pic:spPr>
                      </pic:pic>
                    </a:graphicData>
                  </a:graphic>
                </wp:inline>
              </w:drawing>
            </w:r>
          </w:p>
        </w:tc>
        <w:tc>
          <w:tcPr>
            <w:tcW w:type="dxa" w:w="6372"/>
            <w:tcMar>
              <w:top w:type="dxa" w:w="100"/>
              <w:left w:type="dxa" w:w="200"/>
              <w:bottom w:type="dxa" w:w="100"/>
              <w:right w:type="dxa" w:w="0"/>
            </w:tcMar>
            <w:vAlign w:val="center"/>
          </w:tcPr>
          <w:p>
            <w:pPr>
              <w:spacing w:after="80"/>
            </w:pPr>
            <w:r>
              <w:rPr>
                <w:b/>
                <w:bCs/>
                <w:color w:val="D97706"/>
                <w:sz w:val="18"/>
                <w:szCs w:val="18"/>
              </w:rPr>
              <w:t xml:space="preserve">Pagina 3</w:t>
            </w:r>
          </w:p>
          <w:p>
            <w:pPr>
              <w:spacing w:after="0"/>
            </w:pPr>
            <w:r>
              <w:rPr>
                <w:color w:val="2D3748"/>
                <w:sz w:val="21"/>
                <w:szCs w:val="21"/>
              </w:rPr>
              <w:t xml:space="preserve">Proprio in quel momento, comparve il saggio Aristotele. Aveva una lunga barba bianca che sembrava panna montata e una veste candida. Aris lo chiamava spesso perché il Maestro sapeva spiegare il "perché" di ogni cosa, dalle stelle ai fiori. Con il cuore che batteva forte, Aris gli corse incontro: "Maestro! Mi dici il segreto della felicità vera?"</w:t>
            </w:r>
          </w:p>
        </w:tc>
      </w:tr>
    </w:tbl>
    <w:p>
      <w:r>
        <w:br w:type="page"/>
      </w:r>
    </w:p>
    <w:tbl>
      <w:tblPr>
        <w:tblW w:type="dxa" w:w="9572"/>
        <w:tblBorders>
          <w:top w:val="none" w:color="FFFFFF" w:sz="0"/>
          <w:left w:val="none" w:color="FFFFFF" w:sz="0"/>
          <w:bottom w:val="none" w:color="FFFFFF" w:sz="0"/>
          <w:right w:val="none" w:color="FFFFFF" w:sz="0"/>
          <w:insideH w:val="none" w:color="FFFFFF" w:sz="0"/>
          <w:insideV w:val="none" w:color="FFFFFF" w:sz="0"/>
        </w:tblBorders>
      </w:tblPr>
      <w:tblGrid>
        <w:gridCol w:w="3200"/>
        <w:gridCol w:w="6372"/>
      </w:tblGrid>
      <w:tr>
        <w:tc>
          <w:tcPr>
            <w:tcW w:type="dxa" w:w="3200"/>
            <w:tcMar>
              <w:top w:type="dxa" w:w="100"/>
              <w:left w:type="dxa" w:w="0"/>
              <w:bottom w:type="dxa" w:w="100"/>
              <w:right w:type="dxa" w:w="200"/>
            </w:tcMar>
            <w:vAlign w:val="center"/>
          </w:tcPr>
          <w:p>
            <w:pPr>
              <w:jc w:val="center"/>
            </w:pPr>
            <w:r>
              <w:drawing>
                <wp:inline distT="0" distB="0" distL="0" distR="0">
                  <wp:extent cx="1428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2181225"/>
                          </a:xfrm>
                          <a:prstGeom prst="rect">
                            <a:avLst/>
                          </a:prstGeom>
                        </pic:spPr>
                      </pic:pic>
                    </a:graphicData>
                  </a:graphic>
                </wp:inline>
              </w:drawing>
            </w:r>
          </w:p>
        </w:tc>
        <w:tc>
          <w:tcPr>
            <w:tcW w:type="dxa" w:w="6372"/>
            <w:tcMar>
              <w:top w:type="dxa" w:w="100"/>
              <w:left w:type="dxa" w:w="200"/>
              <w:bottom w:type="dxa" w:w="100"/>
              <w:right w:type="dxa" w:w="0"/>
            </w:tcMar>
            <w:vAlign w:val="center"/>
          </w:tcPr>
          <w:p>
            <w:pPr>
              <w:spacing w:after="80"/>
            </w:pPr>
            <w:r>
              <w:rPr>
                <w:b/>
                <w:bCs/>
                <w:color w:val="D97706"/>
                <w:sz w:val="18"/>
                <w:szCs w:val="18"/>
              </w:rPr>
              <w:t xml:space="preserve">Pagina 4</w:t>
            </w:r>
          </w:p>
          <w:p>
            <w:pPr>
              <w:spacing w:after="0"/>
            </w:pPr>
            <w:r>
              <w:rPr>
                <w:color w:val="2D3748"/>
                <w:sz w:val="21"/>
                <w:szCs w:val="21"/>
              </w:rPr>
              <w:t xml:space="preserve">Aristotele non rispose subito. Prese Aris per mano e lo portò vicino a una grande finestra che dava sulla piazza. "Vedi, Aris", disse indicando la gente che lavorava e i bambini che studiavano. "Molti pensano che la felicità sia un tesoro da trovare nel terreno. Ma la verità è che l'Eudaimonìa — la vera felicità — non è un oggetto, è un'azione. È qualcosa che si fa."</w:t>
            </w:r>
          </w:p>
        </w:tc>
      </w:tr>
    </w:tbl>
    <w:p>
      <w:pPr>
        <w:spacing w:after="200"/>
      </w:pPr>
    </w:p>
    <w:tbl>
      <w:tblPr>
        <w:tblW w:type="dxa" w:w="9572"/>
        <w:tblBorders>
          <w:top w:val="none" w:color="FFFFFF" w:sz="0"/>
          <w:left w:val="none" w:color="FFFFFF" w:sz="0"/>
          <w:bottom w:val="none" w:color="FFFFFF" w:sz="0"/>
          <w:right w:val="none" w:color="FFFFFF" w:sz="0"/>
          <w:insideH w:val="none" w:color="FFFFFF" w:sz="0"/>
          <w:insideV w:val="none" w:color="FFFFFF" w:sz="0"/>
        </w:tblBorders>
      </w:tblPr>
      <w:tblGrid>
        <w:gridCol w:w="3200"/>
        <w:gridCol w:w="6372"/>
      </w:tblGrid>
      <w:tr>
        <w:tc>
          <w:tcPr>
            <w:tcW w:type="dxa" w:w="3200"/>
            <w:tcMar>
              <w:top w:type="dxa" w:w="100"/>
              <w:left w:type="dxa" w:w="0"/>
              <w:bottom w:type="dxa" w:w="100"/>
              <w:right w:type="dxa" w:w="200"/>
            </w:tcMar>
            <w:vAlign w:val="center"/>
          </w:tcPr>
          <w:p>
            <w:pPr>
              <w:jc w:val="center"/>
            </w:pPr>
            <w:r>
              <w:drawing>
                <wp:inline distT="0" distB="0" distL="0" distR="0">
                  <wp:extent cx="1428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2181225"/>
                          </a:xfrm>
                          <a:prstGeom prst="rect">
                            <a:avLst/>
                          </a:prstGeom>
                        </pic:spPr>
                      </pic:pic>
                    </a:graphicData>
                  </a:graphic>
                </wp:inline>
              </w:drawing>
            </w:r>
          </w:p>
        </w:tc>
        <w:tc>
          <w:tcPr>
            <w:tcW w:type="dxa" w:w="6372"/>
            <w:tcMar>
              <w:top w:type="dxa" w:w="100"/>
              <w:left w:type="dxa" w:w="200"/>
              <w:bottom w:type="dxa" w:w="100"/>
              <w:right w:type="dxa" w:w="0"/>
            </w:tcMar>
            <w:vAlign w:val="center"/>
          </w:tcPr>
          <w:p>
            <w:pPr>
              <w:spacing w:after="80"/>
            </w:pPr>
            <w:r>
              <w:rPr>
                <w:b/>
                <w:bCs/>
                <w:color w:val="D97706"/>
                <w:sz w:val="18"/>
                <w:szCs w:val="18"/>
              </w:rPr>
              <w:t xml:space="preserve">Pagina 5</w:t>
            </w:r>
          </w:p>
          <w:p>
            <w:pPr>
              <w:spacing w:after="0"/>
            </w:pPr>
            <w:r>
              <w:rPr>
                <w:color w:val="2D3748"/>
                <w:sz w:val="21"/>
                <w:szCs w:val="21"/>
              </w:rPr>
              <w:t xml:space="preserve">"Immagina di voler scalare la Montagna d'Oro", spiegò il Maestro. "Per arrivare in cima, non basta correre a caso. Ci vuole lo zaino giusto. Non puoi riempirlo di dolci o giocattoli, perché ti peserebbero troppo durante la salita. Devi portarti solo ciò che serve davvero per il viaggio." Aris ascoltava incantato, cercando di visualizzare quella montagna splendente.</w:t>
            </w:r>
          </w:p>
        </w:tc>
      </w:tr>
    </w:tbl>
    <w:p>
      <w:pPr>
        <w:spacing w:after="200"/>
      </w:pPr>
    </w:p>
    <w:tbl>
      <w:tblPr>
        <w:tblW w:type="dxa" w:w="9572"/>
        <w:tblBorders>
          <w:top w:val="none" w:color="FFFFFF" w:sz="0"/>
          <w:left w:val="none" w:color="FFFFFF" w:sz="0"/>
          <w:bottom w:val="none" w:color="FFFFFF" w:sz="0"/>
          <w:right w:val="none" w:color="FFFFFF" w:sz="0"/>
          <w:insideH w:val="none" w:color="FFFFFF" w:sz="0"/>
          <w:insideV w:val="none" w:color="FFFFFF" w:sz="0"/>
        </w:tblBorders>
      </w:tblPr>
      <w:tblGrid>
        <w:gridCol w:w="3200"/>
        <w:gridCol w:w="6372"/>
      </w:tblGrid>
      <w:tr>
        <w:tc>
          <w:tcPr>
            <w:tcW w:type="dxa" w:w="3200"/>
            <w:tcMar>
              <w:top w:type="dxa" w:w="100"/>
              <w:left w:type="dxa" w:w="0"/>
              <w:bottom w:type="dxa" w:w="100"/>
              <w:right w:type="dxa" w:w="200"/>
            </w:tcMar>
            <w:vAlign w:val="center"/>
          </w:tcPr>
          <w:p>
            <w:pPr>
              <w:jc w:val="center"/>
            </w:pPr>
            <w:r>
              <w:drawing>
                <wp:inline distT="0" distB="0" distL="0" distR="0">
                  <wp:extent cx="1428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2181225"/>
                          </a:xfrm>
                          <a:prstGeom prst="rect">
                            <a:avLst/>
                          </a:prstGeom>
                        </pic:spPr>
                      </pic:pic>
                    </a:graphicData>
                  </a:graphic>
                </wp:inline>
              </w:drawing>
            </w:r>
          </w:p>
        </w:tc>
        <w:tc>
          <w:tcPr>
            <w:tcW w:type="dxa" w:w="6372"/>
            <w:tcMar>
              <w:top w:type="dxa" w:w="100"/>
              <w:left w:type="dxa" w:w="200"/>
              <w:bottom w:type="dxa" w:w="100"/>
              <w:right w:type="dxa" w:w="0"/>
            </w:tcMar>
            <w:vAlign w:val="center"/>
          </w:tcPr>
          <w:p>
            <w:pPr>
              <w:spacing w:after="80"/>
            </w:pPr>
            <w:r>
              <w:rPr>
                <w:b/>
                <w:bCs/>
                <w:color w:val="D97706"/>
                <w:sz w:val="18"/>
                <w:szCs w:val="18"/>
              </w:rPr>
              <w:t xml:space="preserve">Pagina 6</w:t>
            </w:r>
          </w:p>
          <w:p>
            <w:pPr>
              <w:spacing w:after="0"/>
            </w:pPr>
            <w:r>
              <w:rPr>
                <w:color w:val="2D3748"/>
                <w:sz w:val="21"/>
                <w:szCs w:val="21"/>
              </w:rPr>
              <w:t xml:space="preserve">Aristotele tirò fuori una bussola d'ottone. "Questa serve per non perdersi nei boschi. Ma noi ne abbiamo una speciale dentro di noi: la Ragione. Usare la testa per pensare e il cuore per fare del bene agli altri è come usare una bussola interiore. Si chiama Logos, ed è ciò che ci guida verso la vetta della montagna senza farci cadere nei burroni."</w:t>
            </w:r>
          </w:p>
        </w:tc>
      </w:tr>
    </w:tbl>
    <w:p>
      <w:r>
        <w:br w:type="page"/>
      </w:r>
    </w:p>
    <w:tbl>
      <w:tblPr>
        <w:tblW w:type="dxa" w:w="9572"/>
        <w:tblBorders>
          <w:top w:val="none" w:color="FFFFFF" w:sz="0"/>
          <w:left w:val="none" w:color="FFFFFF" w:sz="0"/>
          <w:bottom w:val="none" w:color="FFFFFF" w:sz="0"/>
          <w:right w:val="none" w:color="FFFFFF" w:sz="0"/>
          <w:insideH w:val="none" w:color="FFFFFF" w:sz="0"/>
          <w:insideV w:val="none" w:color="FFFFFF" w:sz="0"/>
        </w:tblBorders>
      </w:tblPr>
      <w:tblGrid>
        <w:gridCol w:w="3200"/>
        <w:gridCol w:w="6372"/>
      </w:tblGrid>
      <w:tr>
        <w:tc>
          <w:tcPr>
            <w:tcW w:type="dxa" w:w="3200"/>
            <w:tcMar>
              <w:top w:type="dxa" w:w="100"/>
              <w:left w:type="dxa" w:w="0"/>
              <w:bottom w:type="dxa" w:w="100"/>
              <w:right w:type="dxa" w:w="200"/>
            </w:tcMar>
            <w:vAlign w:val="center"/>
          </w:tcPr>
          <w:p>
            <w:pPr>
              <w:jc w:val="center"/>
            </w:pPr>
            <w:r>
              <w:drawing>
                <wp:inline distT="0" distB="0" distL="0" distR="0">
                  <wp:extent cx="1428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2181225"/>
                          </a:xfrm>
                          <a:prstGeom prst="rect">
                            <a:avLst/>
                          </a:prstGeom>
                        </pic:spPr>
                      </pic:pic>
                    </a:graphicData>
                  </a:graphic>
                </wp:inline>
              </w:drawing>
            </w:r>
          </w:p>
        </w:tc>
        <w:tc>
          <w:tcPr>
            <w:tcW w:type="dxa" w:w="6372"/>
            <w:tcMar>
              <w:top w:type="dxa" w:w="100"/>
              <w:left w:type="dxa" w:w="200"/>
              <w:bottom w:type="dxa" w:w="100"/>
              <w:right w:type="dxa" w:w="0"/>
            </w:tcMar>
            <w:vAlign w:val="center"/>
          </w:tcPr>
          <w:p>
            <w:pPr>
              <w:spacing w:after="80"/>
            </w:pPr>
            <w:r>
              <w:rPr>
                <w:b/>
                <w:bCs/>
                <w:color w:val="D97706"/>
                <w:sz w:val="18"/>
                <w:szCs w:val="18"/>
              </w:rPr>
              <w:t xml:space="preserve">Pagina 7</w:t>
            </w:r>
          </w:p>
          <w:p>
            <w:pPr>
              <w:spacing w:after="0"/>
            </w:pPr>
            <w:r>
              <w:rPr>
                <w:color w:val="2D3748"/>
                <w:sz w:val="21"/>
                <w:szCs w:val="21"/>
              </w:rPr>
              <w:t xml:space="preserve">Il Maestro raccolse un ramoscello d'ulivo. "Vedi questo ramo? Se lo pieghi troppo, si spezza. Se non lo curi, cresce storto. La felicità sta nel Giusto Mezzo. Non bisogna essere troppo temerari rischiando la vita, ma nemmeno dei codardi che scappano sempre. Quel punto di equilibrio perfetto, Aris, si chiama Virtù."</w:t>
            </w:r>
          </w:p>
        </w:tc>
      </w:tr>
    </w:tbl>
    <w:p>
      <w:pPr>
        <w:spacing w:after="200"/>
      </w:pPr>
    </w:p>
    <w:tbl>
      <w:tblPr>
        <w:tblW w:type="dxa" w:w="9572"/>
        <w:tblBorders>
          <w:top w:val="none" w:color="FFFFFF" w:sz="0"/>
          <w:left w:val="none" w:color="FFFFFF" w:sz="0"/>
          <w:bottom w:val="none" w:color="FFFFFF" w:sz="0"/>
          <w:right w:val="none" w:color="FFFFFF" w:sz="0"/>
          <w:insideH w:val="none" w:color="FFFFFF" w:sz="0"/>
          <w:insideV w:val="none" w:color="FFFFFF" w:sz="0"/>
        </w:tblBorders>
      </w:tblPr>
      <w:tblGrid>
        <w:gridCol w:w="3200"/>
        <w:gridCol w:w="6372"/>
      </w:tblGrid>
      <w:tr>
        <w:tc>
          <w:tcPr>
            <w:tcW w:type="dxa" w:w="3200"/>
            <w:tcMar>
              <w:top w:type="dxa" w:w="100"/>
              <w:left w:type="dxa" w:w="0"/>
              <w:bottom w:type="dxa" w:w="100"/>
              <w:right w:type="dxa" w:w="200"/>
            </w:tcMar>
            <w:vAlign w:val="center"/>
          </w:tcPr>
          <w:p>
            <w:pPr>
              <w:jc w:val="center"/>
            </w:pPr>
            <w:r>
              <w:drawing>
                <wp:inline distT="0" distB="0" distL="0" distR="0">
                  <wp:extent cx="1428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0" cy="2181225"/>
                          </a:xfrm>
                          <a:prstGeom prst="rect">
                            <a:avLst/>
                          </a:prstGeom>
                        </pic:spPr>
                      </pic:pic>
                    </a:graphicData>
                  </a:graphic>
                </wp:inline>
              </w:drawing>
            </w:r>
          </w:p>
        </w:tc>
        <w:tc>
          <w:tcPr>
            <w:tcW w:type="dxa" w:w="6372"/>
            <w:tcMar>
              <w:top w:type="dxa" w:w="100"/>
              <w:left w:type="dxa" w:w="200"/>
              <w:bottom w:type="dxa" w:w="100"/>
              <w:right w:type="dxa" w:w="0"/>
            </w:tcMar>
            <w:vAlign w:val="center"/>
          </w:tcPr>
          <w:p>
            <w:pPr>
              <w:spacing w:after="80"/>
            </w:pPr>
            <w:r>
              <w:rPr>
                <w:b/>
                <w:bCs/>
                <w:color w:val="D97706"/>
                <w:sz w:val="18"/>
                <w:szCs w:val="18"/>
              </w:rPr>
              <w:t xml:space="preserve">Pagina 8</w:t>
            </w:r>
          </w:p>
          <w:p>
            <w:pPr>
              <w:spacing w:after="0"/>
            </w:pPr>
            <w:r>
              <w:rPr>
                <w:color w:val="2D3748"/>
                <w:sz w:val="21"/>
                <w:szCs w:val="21"/>
              </w:rPr>
              <w:t xml:space="preserve">Aris pensò al suo amico Nikos. A volte Nikos voleva sempre decidere a cosa giocare, diventando un po' prepotente. Aristotele spiegò che anche nell'amicizia serve equilibrio: essere gentili senza permettere agli altri di essere ingiusti. "Il Coraggio e la Temperanza sono i tuoi muscoli per la scalata," disse Aristotele, "e gli amici veri sono i tuoi compagni di cordata."</w:t>
            </w:r>
          </w:p>
        </w:tc>
      </w:tr>
    </w:tbl>
    <w:p>
      <w:pPr>
        <w:spacing w:after="200"/>
      </w:pPr>
    </w:p>
    <w:tbl>
      <w:tblPr>
        <w:tblW w:type="dxa" w:w="9572"/>
        <w:tblBorders>
          <w:top w:val="none" w:color="FFFFFF" w:sz="0"/>
          <w:left w:val="none" w:color="FFFFFF" w:sz="0"/>
          <w:bottom w:val="none" w:color="FFFFFF" w:sz="0"/>
          <w:right w:val="none" w:color="FFFFFF" w:sz="0"/>
          <w:insideH w:val="none" w:color="FFFFFF" w:sz="0"/>
          <w:insideV w:val="none" w:color="FFFFFF" w:sz="0"/>
        </w:tblBorders>
      </w:tblPr>
      <w:tblGrid>
        <w:gridCol w:w="3200"/>
        <w:gridCol w:w="6372"/>
      </w:tblGrid>
      <w:tr>
        <w:tc>
          <w:tcPr>
            <w:tcW w:type="dxa" w:w="3200"/>
            <w:tcMar>
              <w:top w:type="dxa" w:w="100"/>
              <w:left w:type="dxa" w:w="0"/>
              <w:bottom w:type="dxa" w:w="100"/>
              <w:right w:type="dxa" w:w="200"/>
            </w:tcMar>
            <w:vAlign w:val="center"/>
          </w:tcPr>
          <w:p>
            <w:pPr>
              <w:jc w:val="center"/>
            </w:pPr>
            <w:r>
              <w:drawing>
                <wp:inline distT="0" distB="0" distL="0" distR="0">
                  <wp:extent cx="1428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2181225"/>
                          </a:xfrm>
                          <a:prstGeom prst="rect">
                            <a:avLst/>
                          </a:prstGeom>
                        </pic:spPr>
                      </pic:pic>
                    </a:graphicData>
                  </a:graphic>
                </wp:inline>
              </w:drawing>
            </w:r>
          </w:p>
        </w:tc>
        <w:tc>
          <w:tcPr>
            <w:tcW w:type="dxa" w:w="6372"/>
            <w:tcMar>
              <w:top w:type="dxa" w:w="100"/>
              <w:left w:type="dxa" w:w="200"/>
              <w:bottom w:type="dxa" w:w="100"/>
              <w:right w:type="dxa" w:w="0"/>
            </w:tcMar>
            <w:vAlign w:val="center"/>
          </w:tcPr>
          <w:p>
            <w:pPr>
              <w:spacing w:after="80"/>
            </w:pPr>
            <w:r>
              <w:rPr>
                <w:b/>
                <w:bCs/>
                <w:color w:val="D97706"/>
                <w:sz w:val="18"/>
                <w:szCs w:val="18"/>
              </w:rPr>
              <w:t xml:space="preserve">Pagina 9 — Fine</w:t>
            </w:r>
          </w:p>
          <w:p>
            <w:pPr>
              <w:spacing w:after="0"/>
            </w:pPr>
            <w:r>
              <w:rPr>
                <w:color w:val="2D3748"/>
                <w:sz w:val="21"/>
                <w:szCs w:val="21"/>
              </w:rPr>
              <w:t xml:space="preserve">"E cosa c'è in cima, Maestro?" chiese Aris. "C'è l'Eudaimonìa," rispose Aristotele. "È una luce d'oro che brilla dentro di te e non si spegne mai, perché l'hai costruita tu, passo dopo passo, con le tue scelte giuste." Aris tornò a giocare con una nuova luce negli occhi: ora sapeva che la sua felicità dipendeva da come usava la sua bussola ogni giorno.</w:t>
            </w:r>
          </w:p>
        </w:tc>
      </w:tr>
    </w:tbl>
    <w:p>
      <w:r>
        <w:br w:type="page"/>
      </w:r>
    </w:p>
    <w:p>
      <w:pPr>
        <w:pStyle w:val="Heading1"/>
        <w:spacing w:after="200" w:before="360"/>
      </w:pPr>
      <w:r>
        <w:t xml:space="preserve">10. Riferimenti bibliografici, sitografici e normativi</w:t>
      </w:r>
    </w:p>
    <w:p>
      <w:pPr>
        <w:spacing w:after="160"/>
      </w:pPr>
      <w:r>
        <w:rPr>
          <w:i/>
          <w:iCs/>
          <w:color w:val="777777"/>
        </w:rPr>
        <w:t xml:space="preserve">Fonti verificate. Le voci corrette rispetto a una bozza precedente sono segnalate con °.</w:t>
      </w:r>
    </w:p>
    <w:p>
      <w:pPr>
        <w:pStyle w:val="Heading2"/>
        <w:spacing w:after="160" w:before="280"/>
      </w:pPr>
      <w:r>
        <w:t xml:space="preserve">10.1 Riferimenti istituzionali e Progetto PATHS (MIM / INDIRE)</w:t>
      </w:r>
    </w:p>
    <w:p>
      <w:pPr>
        <w:pStyle w:val="ListParagraph"/>
        <w:numPr>
          <w:ilvl w:val="0"/>
          <w:numId w:val="1"/>
        </w:numPr>
        <w:spacing w:after="100"/>
      </w:pPr>
      <w:r>
        <w:t xml:space="preserve">INDIRE &amp; Ministero dell'Istruzione e del Merito (MIM). PATHS – Per Parole / Philosophy for Schools. Piattaforma e risorse didattiche per lo sviluppo del pensiero critico.</w:t>
      </w:r>
    </w:p>
    <w:p>
      <w:pPr>
        <w:pStyle w:val="ListParagraph"/>
        <w:numPr>
          <w:ilvl w:val="0"/>
          <w:numId w:val="1"/>
        </w:numPr>
        <w:spacing w:after="100"/>
      </w:pPr>
      <w:r>
        <w:t xml:space="preserve">INDIRE / MIM. PATHS Summer School: "Problemi filosofici: sfide dell'IA e sviluppi del pensiero critico". Programma formativo per docenti.</w:t>
      </w:r>
    </w:p>
    <w:p>
      <w:pPr>
        <w:pStyle w:val="ListParagraph"/>
        <w:numPr>
          <w:ilvl w:val="0"/>
          <w:numId w:val="1"/>
        </w:numPr>
        <w:spacing w:after="100"/>
      </w:pPr>
      <w:r>
        <w:t xml:space="preserve">MIM. Piano Nazionale Scuola Digitale (PNSD) e Linee guida per l'orientamento e le STEM.</w:t>
      </w:r>
    </w:p>
    <w:p>
      <w:pPr>
        <w:pStyle w:val="Heading2"/>
        <w:spacing w:after="160" w:before="280"/>
      </w:pPr>
      <w:r>
        <w:t xml:space="preserve">10.2 Philosophy for Children (P4C) e didattica della filosofia</w:t>
      </w:r>
    </w:p>
    <w:p>
      <w:pPr>
        <w:pStyle w:val="ListParagraph"/>
        <w:numPr>
          <w:ilvl w:val="0"/>
          <w:numId w:val="1"/>
        </w:numPr>
        <w:spacing w:after="100"/>
      </w:pPr>
      <w:r>
        <w:t xml:space="preserve">Cosentino, A. (a cura di) (2002). Filosofia e formazione. 10 anni di Philosophy for Children in Italia (1991-2001). Napoli: Liguori.</w:t>
      </w:r>
    </w:p>
    <w:p>
      <w:pPr>
        <w:pStyle w:val="ListParagraph"/>
        <w:numPr>
          <w:ilvl w:val="0"/>
          <w:numId w:val="1"/>
        </w:numPr>
        <w:spacing w:after="100"/>
      </w:pPr>
      <w:r>
        <w:t xml:space="preserve">Cosentino, A. (2008). Filosofia come pratica sociale. Comunità di ricerca, formazione e cura di sé. Milano: Apogeo. °</w:t>
      </w:r>
    </w:p>
    <w:p>
      <w:pPr>
        <w:pStyle w:val="ListParagraph"/>
        <w:numPr>
          <w:ilvl w:val="0"/>
          <w:numId w:val="1"/>
        </w:numPr>
        <w:spacing w:after="100"/>
      </w:pPr>
      <w:r>
        <w:t xml:space="preserve">Lipman, M., Sharp, A. M., Oscanyan, F. S. (2004). Il prisma dei perché, trad. e adatt. A. Cosentino. Napoli: Liguori. °</w:t>
      </w:r>
    </w:p>
    <w:p>
      <w:pPr>
        <w:pStyle w:val="ListParagraph"/>
        <w:numPr>
          <w:ilvl w:val="0"/>
          <w:numId w:val="1"/>
        </w:numPr>
        <w:spacing w:after="100"/>
      </w:pPr>
      <w:r>
        <w:t xml:space="preserve">Lipman, M. (2005). Educare al pensiero, trad. A. Leghi. Milano: Vita e Pensiero.</w:t>
      </w:r>
    </w:p>
    <w:p>
      <w:pPr>
        <w:pStyle w:val="ListParagraph"/>
        <w:numPr>
          <w:ilvl w:val="0"/>
          <w:numId w:val="1"/>
        </w:numPr>
        <w:spacing w:after="100"/>
      </w:pPr>
      <w:r>
        <w:t xml:space="preserve">Santi, M. (a cura di) (2005). Philosophy for Children: un curricolo per imparare a pensare. Napoli: Liguori.</w:t>
      </w:r>
    </w:p>
    <w:p>
      <w:pPr>
        <w:pStyle w:val="ListParagraph"/>
        <w:numPr>
          <w:ilvl w:val="0"/>
          <w:numId w:val="1"/>
        </w:numPr>
        <w:spacing w:after="100"/>
      </w:pPr>
      <w:r>
        <w:t xml:space="preserve">Striano, M. (1999). Educare al pensiero complesso. Il modello della Philosophy for Children. Napoli: Liguori.</w:t>
      </w:r>
    </w:p>
    <w:p>
      <w:pPr>
        <w:pStyle w:val="Heading2"/>
        <w:spacing w:after="160" w:before="280"/>
      </w:pPr>
      <w:r>
        <w:t xml:space="preserve">10.3 Fonti filosofiche classiche (Aristotele e Socrate)</w:t>
      </w:r>
    </w:p>
    <w:p>
      <w:pPr>
        <w:pStyle w:val="ListParagraph"/>
        <w:numPr>
          <w:ilvl w:val="0"/>
          <w:numId w:val="1"/>
        </w:numPr>
        <w:spacing w:after="100"/>
      </w:pPr>
      <w:r>
        <w:t xml:space="preserve">Aristotele. Etica Nicomachea (Giusto Mezzo, Felicità/Eudaimonia, forme di amicizia). Trad., intr. e note di C. Natali. Roma-Bari: Laterza, 1999.</w:t>
      </w:r>
    </w:p>
    <w:p>
      <w:pPr>
        <w:pStyle w:val="ListParagraph"/>
        <w:numPr>
          <w:ilvl w:val="0"/>
          <w:numId w:val="1"/>
        </w:numPr>
        <w:spacing w:after="100"/>
      </w:pPr>
      <w:r>
        <w:t xml:space="preserve">Platone. Apologia di Socrate e Menone (metodo dialogico e maieutico socratico). Trad. it. Roma-Bari: Laterza.</w:t>
      </w:r>
    </w:p>
    <w:p>
      <w:pPr>
        <w:pStyle w:val="Heading2"/>
        <w:spacing w:after="160" w:before="280"/>
      </w:pPr>
      <w:r>
        <w:t xml:space="preserve">10.4 Intelligenza Artificiale e didattica innovativa</w:t>
      </w:r>
    </w:p>
    <w:p>
      <w:pPr>
        <w:pStyle w:val="ListParagraph"/>
        <w:numPr>
          <w:ilvl w:val="0"/>
          <w:numId w:val="1"/>
        </w:numPr>
        <w:spacing w:after="100"/>
      </w:pPr>
      <w:r>
        <w:t xml:space="preserve">Commissione Europea, Direzione Generale Istruzione, Gioventù, Sport e Cultura (2022, 25 ottobre). Orientamenti etici sull'uso dell'intelligenza artificiale e dei dati nell'insegnamento e nell'apprendimento per gli educatori. °</w:t>
      </w:r>
    </w:p>
    <w:p>
      <w:pPr>
        <w:pStyle w:val="ListParagraph"/>
        <w:numPr>
          <w:ilvl w:val="0"/>
          <w:numId w:val="1"/>
        </w:numPr>
        <w:spacing w:after="100"/>
      </w:pPr>
      <w:r>
        <w:t xml:space="preserve">Miao, F. &amp; Holmes, W. (2023). Guidance for Generative AI in Education and Research. Parigi: UNESCO Publishing.</w:t>
      </w:r>
    </w:p>
    <w:p>
      <w:pPr>
        <w:pStyle w:val="ListParagraph"/>
        <w:numPr>
          <w:ilvl w:val="0"/>
          <w:numId w:val="1"/>
        </w:numPr>
        <w:spacing w:after="100"/>
      </w:pPr>
      <w:r>
        <w:t xml:space="preserve">Floridi, L. (2020). Il verde e il blu: idee ingenue per migliorare la politica. Milano: Raffaello Cortina Editore. °</w:t>
      </w:r>
    </w:p>
    <w:p>
      <w:pPr>
        <w:pStyle w:val="Heading2"/>
        <w:spacing w:after="160" w:before="280"/>
      </w:pPr>
      <w:r>
        <w:t xml:space="preserve">10.5 Quadro normativo per la scuola primaria</w:t>
      </w:r>
    </w:p>
    <w:p>
      <w:pPr>
        <w:pStyle w:val="ListParagraph"/>
        <w:numPr>
          <w:ilvl w:val="0"/>
          <w:numId w:val="1"/>
        </w:numPr>
        <w:spacing w:after="100"/>
      </w:pPr>
      <w:r>
        <w:t xml:space="preserve">Ministero dell'Istruzione (2012). Indicazioni Nazionali per il curricolo della scuola dell'infanzia e del primo ciclo d'istruzione.</w:t>
      </w:r>
    </w:p>
    <w:p>
      <w:pPr>
        <w:pStyle w:val="ListParagraph"/>
        <w:numPr>
          <w:ilvl w:val="0"/>
          <w:numId w:val="1"/>
        </w:numPr>
        <w:spacing w:after="100"/>
      </w:pPr>
      <w:r>
        <w:t xml:space="preserve">Ministero dell'Istruzione (2018). Indicazioni Nazionali e Nuovi Scenari. Documento del Comitato Scientifico Nazionale.</w:t>
      </w:r>
    </w:p>
    <w:p>
      <w:pPr>
        <w:pStyle w:val="ListParagraph"/>
        <w:numPr>
          <w:ilvl w:val="0"/>
          <w:numId w:val="1"/>
        </w:numPr>
        <w:spacing w:after="100"/>
      </w:pPr>
      <w:r>
        <w:t xml:space="preserve">Raccomandazione del Consiglio dell'Unione Europea, del 22 maggio 2018, relativa alle competenze chiave per l'apprendimento permanente (2018/C 189/01).</w:t>
      </w:r>
    </w:p>
    <w:p>
      <w:pPr>
        <w:spacing w:after="160"/>
      </w:pPr>
      <w:r>
        <w:rPr>
          <w:i/>
          <w:iCs/>
          <w:color w:val="777777"/>
        </w:rPr>
        <w:t xml:space="preserve">° Voce corretta rispetto alla bozza originale dopo verifica delle fonti (editore, anno o titolo esatto).</w:t>
      </w:r>
    </w:p>
    <w:p>
      <w:pPr>
        <w:spacing w:before="400"/>
        <w:jc w:val="center"/>
      </w:pPr>
      <w:r>
        <w:rPr>
          <w:i/>
          <w:iCs/>
          <w:color w:val="999999"/>
          <w:sz w:val="18"/>
          <w:szCs w:val="18"/>
        </w:rPr>
        <w:t xml:space="preserve">Progetto PATHS – Ministero dell'Istruzione e del Merito · UDA a cura della Docente Sonia Cercelletta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D97706"/>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C2410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a5a020e35cdef37714484e9310a6268fcf5730b.jpg"/><Relationship Id="rId8" Type="http://schemas.openxmlformats.org/officeDocument/2006/relationships/image" Target="media/821c1ea439bf3645caf48a0bac386f0d41fc0365.jpg"/><Relationship Id="rId9" Type="http://schemas.openxmlformats.org/officeDocument/2006/relationships/image" Target="media/6ca47933b853d0bedde5506a9043df64c319806c.jpg"/><Relationship Id="rId10" Type="http://schemas.openxmlformats.org/officeDocument/2006/relationships/image" Target="media/288e3a0c63c8ed4d8dc17a775e63b27c100cde13.jpg"/><Relationship Id="rId11" Type="http://schemas.openxmlformats.org/officeDocument/2006/relationships/image" Target="media/223b69736263178015a244cc859d103b1627a745.jpg"/><Relationship Id="rId12" Type="http://schemas.openxmlformats.org/officeDocument/2006/relationships/image" Target="media/e926307d511f92f391e486bdb420736cf5936dbc.jpg"/><Relationship Id="rId13" Type="http://schemas.openxmlformats.org/officeDocument/2006/relationships/image" Target="media/f9f5b4b40483bdfd038df1cfaf301be11b93ddaf.jpg"/><Relationship Id="rId14" Type="http://schemas.openxmlformats.org/officeDocument/2006/relationships/image" Target="media/58490a119b6580166ca5362a7f618f0a42dac817.jpg"/><Relationship Id="rId15" Type="http://schemas.openxmlformats.org/officeDocument/2006/relationships/image" Target="media/0fa695cfad30fdb8199969f1f192669123608012.jpg"/><Relationship Id="rId16" Type="http://schemas.openxmlformats.org/officeDocument/2006/relationships/image" Target="media/33a7ca834e890800a4f7ca38e88c85123ce7a56f.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2026-09-13T02:17:48.766Z</dcterms:created>
  <dcterms:modified xsi:type="dcterms:W3CDTF">2026-09-13T02:17:48.776Z</dcterms:modified>
</cp:coreProperties>
</file>

<file path=docProps/custom.xml><?xml version="1.0" encoding="utf-8"?>
<Properties xmlns="http://schemas.openxmlformats.org/officeDocument/2006/custom-properties" xmlns:vt="http://schemas.openxmlformats.org/officeDocument/2006/docPropsVTypes"/>
</file>