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C0D" w:rsidRDefault="00B12C0D" w:rsidP="00B12C0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73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LITERATURE REVIEW</w:t>
      </w:r>
    </w:p>
    <w:p w:rsidR="00B12C0D" w:rsidRPr="0070735B" w:rsidRDefault="00B12C0D" w:rsidP="00B12C0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73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:rsidR="00B12C0D" w:rsidRPr="008E51D8" w:rsidRDefault="00B12C0D" w:rsidP="00B12C0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735B">
        <w:rPr>
          <w:rFonts w:ascii="Times New Roman" w:hAnsi="Times New Roman" w:cs="Times New Roman"/>
          <w:color w:val="000000" w:themeColor="text1"/>
          <w:sz w:val="24"/>
          <w:szCs w:val="24"/>
        </w:rPr>
        <w:t>This section discusses other systems in relation to the performance limiters for controls.</w:t>
      </w:r>
    </w:p>
    <w:p w:rsidR="00B12C0D" w:rsidRDefault="00B12C0D" w:rsidP="00B12C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073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EXISTING SYSTEMS</w:t>
      </w:r>
    </w:p>
    <w:p w:rsidR="00B12C0D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2C0D" w:rsidRPr="0070735B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35B">
        <w:rPr>
          <w:rFonts w:ascii="Times New Roman" w:hAnsi="Times New Roman" w:cs="Times New Roman"/>
          <w:b/>
          <w:bCs/>
          <w:sz w:val="24"/>
          <w:szCs w:val="24"/>
        </w:rPr>
        <w:t>Wheel Slip Control for Improving Traction-Ability and Energy Efficiency of a Personal Electric Vehicle.</w:t>
      </w:r>
    </w:p>
    <w:p w:rsidR="00B12C0D" w:rsidRPr="0070735B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735B">
        <w:rPr>
          <w:rFonts w:ascii="Times New Roman" w:hAnsi="Times New Roman" w:cs="Times New Roman"/>
          <w:sz w:val="24"/>
          <w:szCs w:val="24"/>
        </w:rPr>
        <w:t>A robust wheel slip control system based on a sliding mode controller improves traction-ability and reduces energy consumption during sudden acceleration for a personal electric vehicle. Sliding mode control techniques have been employed widely in the development of a robust wheel slip controller of conventional internal combustion engine vehicles due to their application effectiveness in nonlinear systems and robustness against model uncertainties and disturbances.</w:t>
      </w:r>
    </w:p>
    <w:p w:rsidR="00B12C0D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735B">
        <w:rPr>
          <w:rFonts w:ascii="Times New Roman" w:hAnsi="Times New Roman" w:cs="Times New Roman"/>
          <w:sz w:val="24"/>
          <w:szCs w:val="24"/>
        </w:rPr>
        <w:t>It has an algorithm for vehicle velocity estimation. The vehicle velocity estimator was designed based on rotational wheel dynamics, measurable motor torque, and wheel velocity as well as rule-based logic. Comparative experiments with variations of control variables proved the effectiveness and practicality of the control design.</w:t>
      </w:r>
    </w:p>
    <w:p w:rsidR="00B12C0D" w:rsidRPr="0070735B" w:rsidRDefault="00B12C0D" w:rsidP="00B12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C0D" w:rsidRPr="0070735B" w:rsidRDefault="00B12C0D" w:rsidP="00B12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35B">
        <w:rPr>
          <w:rFonts w:ascii="Times New Roman" w:hAnsi="Times New Roman" w:cs="Times New Roman"/>
          <w:b/>
          <w:bCs/>
          <w:sz w:val="24"/>
          <w:szCs w:val="24"/>
        </w:rPr>
        <w:t>Cloud Control with Distributed Rate Limiting</w:t>
      </w:r>
    </w:p>
    <w:p w:rsidR="00B12C0D" w:rsidRPr="00AB6B7D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0735B">
        <w:rPr>
          <w:rFonts w:ascii="Times New Roman" w:hAnsi="Times New Roman" w:cs="Times New Roman"/>
          <w:sz w:val="24"/>
          <w:szCs w:val="24"/>
        </w:rPr>
        <w:t xml:space="preserve">loud-based services integrate globally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70735B">
        <w:rPr>
          <w:rFonts w:ascii="Times New Roman" w:hAnsi="Times New Roman" w:cs="Times New Roman"/>
          <w:sz w:val="24"/>
          <w:szCs w:val="24"/>
        </w:rPr>
        <w:t>distributed resources into seamless computing platforms. Provisioning and accounting for the resource usage of these Internet-scale applications presents a challenging technical p</w:t>
      </w:r>
      <w:r>
        <w:rPr>
          <w:rFonts w:ascii="Times New Roman" w:hAnsi="Times New Roman" w:cs="Times New Roman"/>
          <w:sz w:val="24"/>
          <w:szCs w:val="24"/>
        </w:rPr>
        <w:t>roblem. The</w:t>
      </w:r>
      <w:r w:rsidRPr="0070735B">
        <w:rPr>
          <w:rFonts w:ascii="Times New Roman" w:hAnsi="Times New Roman" w:cs="Times New Roman"/>
          <w:sz w:val="24"/>
          <w:szCs w:val="24"/>
        </w:rPr>
        <w:t xml:space="preserve"> distri</w:t>
      </w:r>
      <w:r>
        <w:rPr>
          <w:rFonts w:ascii="Times New Roman" w:hAnsi="Times New Roman" w:cs="Times New Roman"/>
          <w:sz w:val="24"/>
          <w:szCs w:val="24"/>
        </w:rPr>
        <w:t>buted rate limiters</w:t>
      </w:r>
      <w:r w:rsidRPr="0070735B">
        <w:rPr>
          <w:rFonts w:ascii="Times New Roman" w:hAnsi="Times New Roman" w:cs="Times New Roman"/>
          <w:sz w:val="24"/>
          <w:szCs w:val="24"/>
        </w:rPr>
        <w:t xml:space="preserve"> work together to enforce a global rate limit across traffic aggregates at multiple sites, enabling the coordinated policing of a cloud-based </w:t>
      </w:r>
      <w:r>
        <w:rPr>
          <w:rFonts w:ascii="Times New Roman" w:hAnsi="Times New Roman" w:cs="Times New Roman"/>
          <w:sz w:val="24"/>
          <w:szCs w:val="24"/>
        </w:rPr>
        <w:t xml:space="preserve">service’s network traffic. It </w:t>
      </w:r>
      <w:r w:rsidRPr="0070735B">
        <w:rPr>
          <w:rFonts w:ascii="Times New Roman" w:hAnsi="Times New Roman" w:cs="Times New Roman"/>
          <w:sz w:val="24"/>
          <w:szCs w:val="24"/>
        </w:rPr>
        <w:t>also ensures that congestion-responsive transport-layer flows behave as if they travers</w:t>
      </w:r>
      <w:r>
        <w:rPr>
          <w:rFonts w:ascii="Times New Roman" w:hAnsi="Times New Roman" w:cs="Times New Roman"/>
          <w:sz w:val="24"/>
          <w:szCs w:val="24"/>
        </w:rPr>
        <w:t xml:space="preserve">ed a single, shared limiter. It has two designs, </w:t>
      </w:r>
      <w:r w:rsidRPr="00AB6B7D">
        <w:rPr>
          <w:rFonts w:ascii="Times New Roman" w:hAnsi="Times New Roman" w:cs="Times New Roman"/>
          <w:sz w:val="24"/>
          <w:szCs w:val="24"/>
        </w:rPr>
        <w:t>One general purpose, and one optimized for TCP—that allow service operators to explicitly tradeoff between communication costs and system accuracy, efficiency, and scalability.</w:t>
      </w:r>
    </w:p>
    <w:p w:rsidR="00B12C0D" w:rsidRPr="0070735B" w:rsidRDefault="00B12C0D" w:rsidP="00B12C0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735B">
        <w:rPr>
          <w:rFonts w:ascii="Times New Roman" w:hAnsi="Times New Roman" w:cs="Times New Roman"/>
          <w:sz w:val="24"/>
          <w:szCs w:val="24"/>
        </w:rPr>
        <w:t xml:space="preserve">Both designs are capable of rate limiting thousands of flows </w:t>
      </w:r>
      <w:r>
        <w:rPr>
          <w:rFonts w:ascii="Times New Roman" w:hAnsi="Times New Roman" w:cs="Times New Roman"/>
          <w:sz w:val="24"/>
          <w:szCs w:val="24"/>
        </w:rPr>
        <w:t>with negligible overhead.</w:t>
      </w:r>
      <w:r w:rsidRPr="007073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4280" w:rsidRDefault="002D4280">
      <w:bookmarkStart w:id="0" w:name="_GoBack"/>
      <w:bookmarkEnd w:id="0"/>
    </w:p>
    <w:sectPr w:rsidR="002D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0D"/>
    <w:rsid w:val="002D4280"/>
    <w:rsid w:val="00B1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6E230-964D-4B54-8770-AF8FAE05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1</cp:revision>
  <dcterms:created xsi:type="dcterms:W3CDTF">2017-04-17T20:49:00Z</dcterms:created>
  <dcterms:modified xsi:type="dcterms:W3CDTF">2017-04-17T20:50:00Z</dcterms:modified>
</cp:coreProperties>
</file>